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E4C3477" w14:textId="40B87C6C" w:rsidR="00592CAA" w:rsidRPr="00B814A4" w:rsidRDefault="00B814A4" w:rsidP="00B814A4">
      <w:pPr>
        <w:spacing w:line="276" w:lineRule="auto"/>
        <w:jc w:val="center"/>
        <w:rPr>
          <w:rFonts w:cstheme="minorHAnsi"/>
          <w:b/>
          <w:sz w:val="24"/>
          <w:szCs w:val="24"/>
        </w:rPr>
      </w:pPr>
      <w:bookmarkStart w:id="0" w:name="_GoBack"/>
      <w:r>
        <w:rPr>
          <w:noProof/>
          <w:lang w:eastAsia="pl-PL"/>
        </w:rPr>
        <w:drawing>
          <wp:inline distT="0" distB="0" distL="0" distR="0" wp14:anchorId="008A23C3" wp14:editId="30A57327">
            <wp:extent cx="5760720" cy="623570"/>
            <wp:effectExtent l="0" t="0" r="0" b="5080"/>
            <wp:docPr id="2" name="Obraz 2" descr="Pasek logotypów:&#10;1. Fundusze Europejskie Wiedza Edukacja Rozwój&#10;2. Flaga Polski (Rzeczpospolita Polska)&#10;3. PARP&#10;4. Unia Europejska Europejski Fundusz Społeczny (flaga Uni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SiteCollectionImages/Ksiega-Znaku-PARP-Grupa-PFR/Pasek-z-logami/POWER.pn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760720" cy="623570"/>
                    </a:xfrm>
                    <a:prstGeom prst="rect">
                      <a:avLst/>
                    </a:prstGeom>
                    <a:noFill/>
                    <a:ln>
                      <a:noFill/>
                    </a:ln>
                  </pic:spPr>
                </pic:pic>
              </a:graphicData>
            </a:graphic>
          </wp:inline>
        </w:drawing>
      </w:r>
      <w:bookmarkEnd w:id="0"/>
    </w:p>
    <w:p w14:paraId="115FB2B6" w14:textId="2D35A888" w:rsidR="00C4762E" w:rsidRPr="00B814A4" w:rsidRDefault="00887A0C" w:rsidP="00B814A4">
      <w:pPr>
        <w:spacing w:line="276" w:lineRule="auto"/>
        <w:jc w:val="center"/>
        <w:rPr>
          <w:rFonts w:cstheme="minorHAnsi"/>
          <w:b/>
          <w:sz w:val="24"/>
          <w:szCs w:val="24"/>
        </w:rPr>
      </w:pPr>
      <w:r w:rsidRPr="00B814A4">
        <w:rPr>
          <w:rFonts w:cstheme="minorHAnsi"/>
          <w:b/>
          <w:sz w:val="24"/>
          <w:szCs w:val="24"/>
        </w:rPr>
        <w:t xml:space="preserve">Szacowanie wartości zamówienia na </w:t>
      </w:r>
      <w:r w:rsidR="00026AD4" w:rsidRPr="00B814A4">
        <w:rPr>
          <w:rFonts w:cstheme="minorHAnsi"/>
          <w:b/>
          <w:sz w:val="24"/>
          <w:szCs w:val="24"/>
        </w:rPr>
        <w:t xml:space="preserve">badanie cen rynkowych usług rozwojowych </w:t>
      </w:r>
    </w:p>
    <w:p w14:paraId="1F57A937" w14:textId="77777777" w:rsidR="00887A0C" w:rsidRPr="00B814A4" w:rsidRDefault="00887A0C" w:rsidP="00B814A4">
      <w:pPr>
        <w:spacing w:line="276" w:lineRule="auto"/>
        <w:jc w:val="both"/>
        <w:rPr>
          <w:rFonts w:cstheme="minorHAnsi"/>
          <w:sz w:val="24"/>
          <w:szCs w:val="24"/>
        </w:rPr>
      </w:pPr>
    </w:p>
    <w:p w14:paraId="01036632" w14:textId="67B4E4AB" w:rsidR="00887A0C" w:rsidRPr="00B814A4" w:rsidRDefault="00887A0C" w:rsidP="00B814A4">
      <w:pPr>
        <w:spacing w:line="276" w:lineRule="auto"/>
        <w:jc w:val="both"/>
        <w:rPr>
          <w:rFonts w:cstheme="minorHAnsi"/>
          <w:sz w:val="24"/>
          <w:szCs w:val="24"/>
        </w:rPr>
      </w:pPr>
      <w:r w:rsidRPr="00B814A4">
        <w:rPr>
          <w:rFonts w:cstheme="minorHAnsi"/>
          <w:sz w:val="24"/>
          <w:szCs w:val="24"/>
        </w:rPr>
        <w:t xml:space="preserve">W związku z prowadzonym </w:t>
      </w:r>
      <w:r w:rsidR="00F850E3" w:rsidRPr="00B814A4">
        <w:rPr>
          <w:rFonts w:cstheme="minorHAnsi"/>
          <w:sz w:val="24"/>
          <w:szCs w:val="24"/>
        </w:rPr>
        <w:t>przez Polską Agencję Rozwoju Przedsiębiorczości pozakonkursowy</w:t>
      </w:r>
      <w:r w:rsidR="00FF34CA" w:rsidRPr="00B814A4">
        <w:rPr>
          <w:rFonts w:cstheme="minorHAnsi"/>
          <w:sz w:val="24"/>
          <w:szCs w:val="24"/>
        </w:rPr>
        <w:t xml:space="preserve">m </w:t>
      </w:r>
      <w:r w:rsidR="00E012DF" w:rsidRPr="00B814A4">
        <w:rPr>
          <w:rFonts w:cstheme="minorHAnsi"/>
          <w:sz w:val="24"/>
          <w:szCs w:val="24"/>
        </w:rPr>
        <w:t>projekt</w:t>
      </w:r>
      <w:r w:rsidR="00FF34CA" w:rsidRPr="00B814A4">
        <w:rPr>
          <w:rFonts w:cstheme="minorHAnsi"/>
          <w:sz w:val="24"/>
          <w:szCs w:val="24"/>
        </w:rPr>
        <w:t>em</w:t>
      </w:r>
      <w:r w:rsidR="00F850E3" w:rsidRPr="00B814A4">
        <w:rPr>
          <w:rFonts w:cstheme="minorHAnsi"/>
          <w:sz w:val="24"/>
          <w:szCs w:val="24"/>
        </w:rPr>
        <w:t xml:space="preserve"> </w:t>
      </w:r>
      <w:r w:rsidR="00E012DF" w:rsidRPr="00B814A4">
        <w:rPr>
          <w:rFonts w:cstheme="minorHAnsi"/>
          <w:sz w:val="24"/>
          <w:szCs w:val="24"/>
        </w:rPr>
        <w:t xml:space="preserve"> „</w:t>
      </w:r>
      <w:r w:rsidR="006D2798" w:rsidRPr="00B814A4">
        <w:rPr>
          <w:rFonts w:cstheme="minorHAnsi"/>
          <w:bCs/>
          <w:sz w:val="24"/>
          <w:szCs w:val="24"/>
        </w:rPr>
        <w:t>Kontynuacja działań mających na celu rozwój i utrzymanie ogólnopolskiej Bazy Usług Rozwojowych</w:t>
      </w:r>
      <w:r w:rsidR="001C131C" w:rsidRPr="00B814A4">
        <w:rPr>
          <w:rFonts w:cstheme="minorHAnsi"/>
          <w:sz w:val="24"/>
          <w:szCs w:val="24"/>
        </w:rPr>
        <w:t>”</w:t>
      </w:r>
      <w:r w:rsidR="00C23504" w:rsidRPr="00B814A4">
        <w:rPr>
          <w:rFonts w:cstheme="minorHAnsi"/>
          <w:sz w:val="24"/>
          <w:szCs w:val="24"/>
        </w:rPr>
        <w:t xml:space="preserve"> (PO WER, Działanie 2.3)</w:t>
      </w:r>
      <w:r w:rsidR="00F850E3" w:rsidRPr="00B814A4">
        <w:rPr>
          <w:rFonts w:cstheme="minorHAnsi"/>
          <w:sz w:val="24"/>
          <w:szCs w:val="24"/>
        </w:rPr>
        <w:t xml:space="preserve">, </w:t>
      </w:r>
      <w:r w:rsidR="00A43B9F" w:rsidRPr="00B814A4">
        <w:rPr>
          <w:rFonts w:cstheme="minorHAnsi"/>
          <w:sz w:val="24"/>
          <w:szCs w:val="24"/>
        </w:rPr>
        <w:t>PARP</w:t>
      </w:r>
      <w:r w:rsidR="003F4E4D" w:rsidRPr="00B814A4">
        <w:rPr>
          <w:rFonts w:cstheme="minorHAnsi"/>
          <w:sz w:val="24"/>
          <w:szCs w:val="24"/>
        </w:rPr>
        <w:t xml:space="preserve"> zwraca się do Państwa z uprzejmą prośbą o oszacowanie kosztu </w:t>
      </w:r>
      <w:r w:rsidR="00026AD4" w:rsidRPr="00B814A4">
        <w:rPr>
          <w:rFonts w:cstheme="minorHAnsi"/>
          <w:sz w:val="24"/>
          <w:szCs w:val="24"/>
        </w:rPr>
        <w:t>badania cen rynkowych usług rozwojowych</w:t>
      </w:r>
      <w:r w:rsidR="006D2798" w:rsidRPr="00B814A4">
        <w:rPr>
          <w:rFonts w:cstheme="minorHAnsi"/>
          <w:sz w:val="24"/>
          <w:szCs w:val="24"/>
        </w:rPr>
        <w:t xml:space="preserve">. </w:t>
      </w:r>
    </w:p>
    <w:p w14:paraId="4F4A7459" w14:textId="06EBA574" w:rsidR="00B37666" w:rsidRPr="00B814A4" w:rsidRDefault="00A43B9F" w:rsidP="00B814A4">
      <w:pPr>
        <w:spacing w:after="0" w:line="276" w:lineRule="auto"/>
        <w:jc w:val="both"/>
        <w:rPr>
          <w:rFonts w:cstheme="minorHAnsi"/>
          <w:sz w:val="24"/>
          <w:szCs w:val="24"/>
        </w:rPr>
      </w:pPr>
      <w:r w:rsidRPr="00B814A4">
        <w:rPr>
          <w:rFonts w:cstheme="minorHAnsi"/>
          <w:sz w:val="24"/>
          <w:szCs w:val="24"/>
        </w:rPr>
        <w:t xml:space="preserve">Przedmiotem zamówienia są prace analityczne oraz badawcze dotyczące funkcjonowania </w:t>
      </w:r>
      <w:r w:rsidRPr="00B814A4">
        <w:rPr>
          <w:rFonts w:cstheme="minorHAnsi"/>
          <w:b/>
          <w:sz w:val="24"/>
          <w:szCs w:val="24"/>
        </w:rPr>
        <w:t>Bazy Usług Rozwojowych (BUR</w:t>
      </w:r>
      <w:r w:rsidR="001540BC" w:rsidRPr="00B814A4">
        <w:rPr>
          <w:rFonts w:cstheme="minorHAnsi"/>
          <w:b/>
          <w:sz w:val="24"/>
          <w:szCs w:val="24"/>
        </w:rPr>
        <w:t>)</w:t>
      </w:r>
      <w:r w:rsidR="001540BC" w:rsidRPr="00B814A4">
        <w:rPr>
          <w:rFonts w:cstheme="minorHAnsi"/>
          <w:sz w:val="24"/>
          <w:szCs w:val="24"/>
        </w:rPr>
        <w:t xml:space="preserve">, prowadzonej pod adresem </w:t>
      </w:r>
      <w:hyperlink r:id="rId9" w:history="1">
        <w:r w:rsidR="001540BC" w:rsidRPr="00B814A4">
          <w:rPr>
            <w:rStyle w:val="Hipercze"/>
            <w:rFonts w:cstheme="minorHAnsi"/>
            <w:sz w:val="24"/>
            <w:szCs w:val="24"/>
          </w:rPr>
          <w:t>https://uslugirozwojowe.parp.gov.pl</w:t>
        </w:r>
      </w:hyperlink>
      <w:r w:rsidRPr="00B814A4">
        <w:rPr>
          <w:rFonts w:cstheme="minorHAnsi"/>
          <w:sz w:val="24"/>
          <w:szCs w:val="24"/>
        </w:rPr>
        <w:t xml:space="preserve">. BUR to ogólnodostępna, bezpłatna baza ofert usług </w:t>
      </w:r>
      <w:r w:rsidR="001540BC" w:rsidRPr="00B814A4">
        <w:rPr>
          <w:rFonts w:cstheme="minorHAnsi"/>
          <w:sz w:val="24"/>
          <w:szCs w:val="24"/>
        </w:rPr>
        <w:t xml:space="preserve">rozwojowych </w:t>
      </w:r>
      <w:r w:rsidRPr="00B814A4">
        <w:rPr>
          <w:rFonts w:cstheme="minorHAnsi"/>
          <w:sz w:val="24"/>
          <w:szCs w:val="24"/>
        </w:rPr>
        <w:t>świadczonych w rozmaitych formach (m.in.: szkoleń, kursów zawodowych, doradztwa, studiów podyplomowych, mentoringu czy coachingu), dzięki którym pracownicy firm, instytucje i osoby prywatne mogą rozwijać swoje kompetencje oraz realizować zamierzone cele edukacyjne i biznesowe. Usługi prezentowane w Bazie w przeważającej części objęte są możliwością dofinansowania ze środków E</w:t>
      </w:r>
      <w:r w:rsidR="00FC596C" w:rsidRPr="00B814A4">
        <w:rPr>
          <w:rFonts w:cstheme="minorHAnsi"/>
          <w:sz w:val="24"/>
          <w:szCs w:val="24"/>
        </w:rPr>
        <w:t xml:space="preserve">uropejskiego </w:t>
      </w:r>
      <w:r w:rsidRPr="00B814A4">
        <w:rPr>
          <w:rFonts w:cstheme="minorHAnsi"/>
          <w:sz w:val="24"/>
          <w:szCs w:val="24"/>
        </w:rPr>
        <w:t>F</w:t>
      </w:r>
      <w:r w:rsidR="00FC596C" w:rsidRPr="00B814A4">
        <w:rPr>
          <w:rFonts w:cstheme="minorHAnsi"/>
          <w:sz w:val="24"/>
          <w:szCs w:val="24"/>
        </w:rPr>
        <w:t xml:space="preserve">unduszu </w:t>
      </w:r>
      <w:r w:rsidRPr="00B814A4">
        <w:rPr>
          <w:rFonts w:cstheme="minorHAnsi"/>
          <w:sz w:val="24"/>
          <w:szCs w:val="24"/>
        </w:rPr>
        <w:t>S</w:t>
      </w:r>
      <w:r w:rsidR="00FC596C" w:rsidRPr="00B814A4">
        <w:rPr>
          <w:rFonts w:cstheme="minorHAnsi"/>
          <w:sz w:val="24"/>
          <w:szCs w:val="24"/>
        </w:rPr>
        <w:t>połecznego, w ramach Programu Operacyjnego Wiedza Edukacja Rozwój realizowanego</w:t>
      </w:r>
      <w:r w:rsidRPr="00B814A4">
        <w:rPr>
          <w:rFonts w:cstheme="minorHAnsi"/>
          <w:sz w:val="24"/>
          <w:szCs w:val="24"/>
        </w:rPr>
        <w:t xml:space="preserve"> w perspektywie 2014-2020.</w:t>
      </w:r>
    </w:p>
    <w:p w14:paraId="1CB5E350" w14:textId="24D172C0" w:rsidR="00B37666" w:rsidRPr="00B814A4" w:rsidRDefault="00B37666" w:rsidP="00B814A4">
      <w:pPr>
        <w:spacing w:after="0" w:line="276" w:lineRule="auto"/>
        <w:jc w:val="both"/>
        <w:rPr>
          <w:rFonts w:cstheme="minorHAnsi"/>
          <w:b/>
          <w:sz w:val="24"/>
          <w:szCs w:val="24"/>
        </w:rPr>
      </w:pPr>
    </w:p>
    <w:p w14:paraId="7463287C" w14:textId="0DA306CF" w:rsidR="001540BC" w:rsidRPr="00B814A4" w:rsidRDefault="001540BC" w:rsidP="00B814A4">
      <w:pPr>
        <w:spacing w:line="276" w:lineRule="auto"/>
        <w:jc w:val="both"/>
        <w:rPr>
          <w:rFonts w:cstheme="minorHAnsi"/>
          <w:b/>
          <w:sz w:val="24"/>
          <w:szCs w:val="24"/>
        </w:rPr>
      </w:pPr>
      <w:r w:rsidRPr="00B814A4">
        <w:rPr>
          <w:rFonts w:cstheme="minorHAnsi"/>
          <w:b/>
          <w:sz w:val="24"/>
          <w:szCs w:val="24"/>
        </w:rPr>
        <w:t xml:space="preserve">Głównym celem badania jest określenie konkurencyjności cenowej usług rozwojowych dostępnych w ramach Bazy, w stosunku do analogicznych usług dostępnych poza systemem BUR oraz – w przypadku identyfikacji odchyleń – ustalenie ich zakresu, skali, przyczyn i wreszcie zaproponowanie rozwiązań systemowych, służących lepszej kontroli i przeciwdziałaniu tego typu sytuacjom. </w:t>
      </w:r>
    </w:p>
    <w:p w14:paraId="4248FAC2" w14:textId="218F3B16" w:rsidR="00F65741" w:rsidRPr="00B814A4" w:rsidRDefault="00F65741" w:rsidP="00B814A4">
      <w:pPr>
        <w:spacing w:line="276" w:lineRule="auto"/>
        <w:jc w:val="both"/>
        <w:rPr>
          <w:rFonts w:cstheme="minorHAnsi"/>
          <w:b/>
          <w:sz w:val="24"/>
          <w:szCs w:val="24"/>
          <w:u w:val="single"/>
        </w:rPr>
      </w:pPr>
      <w:r w:rsidRPr="00B814A4">
        <w:rPr>
          <w:rFonts w:cstheme="minorHAnsi"/>
          <w:b/>
          <w:sz w:val="24"/>
          <w:szCs w:val="24"/>
          <w:u w:val="single"/>
        </w:rPr>
        <w:t>Pytania badawcze:</w:t>
      </w:r>
    </w:p>
    <w:p w14:paraId="6A6E48E6" w14:textId="77777777" w:rsidR="00F65741" w:rsidRPr="00B814A4" w:rsidRDefault="00F65741" w:rsidP="00B814A4">
      <w:pPr>
        <w:spacing w:line="276" w:lineRule="auto"/>
        <w:jc w:val="both"/>
        <w:rPr>
          <w:rFonts w:cstheme="minorHAnsi"/>
          <w:sz w:val="24"/>
          <w:szCs w:val="24"/>
        </w:rPr>
      </w:pPr>
      <w:r w:rsidRPr="00B814A4">
        <w:rPr>
          <w:rFonts w:cstheme="minorHAnsi"/>
          <w:sz w:val="24"/>
          <w:szCs w:val="24"/>
        </w:rPr>
        <w:t>Zadaniem Wykonawcy będzie udzielenie w wyniku przeprowadzonych prac badawczych odpowiedzi na pytania przedstawione poniżej. Dla uproszczenia niektóre z nich sformułowane zostały jako pytania rozstrzygnięcia, jednak odpowiedź na nie powinna zostać każdorazowo uzasadniona analizą wyników badania oraz powinna zawierać wyjaśnienie zaobserwowanych zjawisk.</w:t>
      </w:r>
    </w:p>
    <w:p w14:paraId="23EF90D9" w14:textId="12C5E2FB" w:rsidR="00F65741" w:rsidRPr="00B814A4" w:rsidRDefault="00F65741" w:rsidP="00B814A4">
      <w:pPr>
        <w:tabs>
          <w:tab w:val="left" w:pos="284"/>
          <w:tab w:val="left" w:pos="1276"/>
        </w:tabs>
        <w:spacing w:line="276" w:lineRule="auto"/>
        <w:jc w:val="both"/>
        <w:rPr>
          <w:rFonts w:cstheme="minorHAnsi"/>
          <w:sz w:val="24"/>
          <w:szCs w:val="24"/>
        </w:rPr>
      </w:pPr>
      <w:r w:rsidRPr="00B814A4">
        <w:rPr>
          <w:rFonts w:cstheme="minorHAnsi"/>
          <w:sz w:val="24"/>
          <w:szCs w:val="24"/>
        </w:rPr>
        <w:t>1.</w:t>
      </w:r>
      <w:r w:rsidRPr="00B814A4">
        <w:rPr>
          <w:rFonts w:cstheme="minorHAnsi"/>
          <w:sz w:val="24"/>
          <w:szCs w:val="24"/>
        </w:rPr>
        <w:tab/>
        <w:t>Czy występuje zróżnicowanie cen w ramach ustalonych grup usług rozwojowych zarejestrowanych w BUR? Jeśli tak, to:</w:t>
      </w:r>
    </w:p>
    <w:p w14:paraId="3894A0E3" w14:textId="77777777" w:rsidR="00F65741" w:rsidRPr="00B814A4" w:rsidRDefault="00F65741" w:rsidP="00B814A4">
      <w:pPr>
        <w:spacing w:line="276" w:lineRule="auto"/>
        <w:ind w:left="284"/>
        <w:jc w:val="both"/>
        <w:rPr>
          <w:rFonts w:cstheme="minorHAnsi"/>
          <w:sz w:val="24"/>
          <w:szCs w:val="24"/>
        </w:rPr>
      </w:pPr>
      <w:r w:rsidRPr="00B814A4">
        <w:rPr>
          <w:rFonts w:cstheme="minorHAnsi"/>
          <w:sz w:val="24"/>
          <w:szCs w:val="24"/>
        </w:rPr>
        <w:t>a.</w:t>
      </w:r>
      <w:r w:rsidRPr="00B814A4">
        <w:rPr>
          <w:rFonts w:cstheme="minorHAnsi"/>
          <w:sz w:val="24"/>
          <w:szCs w:val="24"/>
        </w:rPr>
        <w:tab/>
        <w:t>Jak duże jest to zróżnicowanie, biorąc pod uwagę cenę usług rozwojowych, w tym ceny za godzinę świadczenia poszczególnych usług?</w:t>
      </w:r>
    </w:p>
    <w:p w14:paraId="38ECE5F4" w14:textId="77777777" w:rsidR="00F65741" w:rsidRPr="00B814A4" w:rsidRDefault="00F65741" w:rsidP="00B814A4">
      <w:pPr>
        <w:spacing w:line="276" w:lineRule="auto"/>
        <w:ind w:left="284"/>
        <w:jc w:val="both"/>
        <w:rPr>
          <w:rFonts w:cstheme="minorHAnsi"/>
          <w:sz w:val="24"/>
          <w:szCs w:val="24"/>
        </w:rPr>
      </w:pPr>
      <w:r w:rsidRPr="00B814A4">
        <w:rPr>
          <w:rFonts w:cstheme="minorHAnsi"/>
          <w:sz w:val="24"/>
          <w:szCs w:val="24"/>
        </w:rPr>
        <w:t>b.</w:t>
      </w:r>
      <w:r w:rsidRPr="00B814A4">
        <w:rPr>
          <w:rFonts w:cstheme="minorHAnsi"/>
          <w:sz w:val="24"/>
          <w:szCs w:val="24"/>
        </w:rPr>
        <w:tab/>
        <w:t>W przypadku których grup usług – biorąc pod uwagę zarówno ich tematykę oraz ich formę – to zróżnicowanie jest największe?</w:t>
      </w:r>
    </w:p>
    <w:p w14:paraId="42755FA7" w14:textId="46044A6A" w:rsidR="00F65741" w:rsidRPr="00B814A4" w:rsidRDefault="00F65741" w:rsidP="00B814A4">
      <w:pPr>
        <w:spacing w:line="276" w:lineRule="auto"/>
        <w:ind w:left="284"/>
        <w:jc w:val="both"/>
        <w:rPr>
          <w:rFonts w:cstheme="minorHAnsi"/>
          <w:sz w:val="24"/>
          <w:szCs w:val="24"/>
        </w:rPr>
      </w:pPr>
      <w:r w:rsidRPr="00B814A4">
        <w:rPr>
          <w:rFonts w:cstheme="minorHAnsi"/>
          <w:sz w:val="24"/>
          <w:szCs w:val="24"/>
        </w:rPr>
        <w:lastRenderedPageBreak/>
        <w:t>c.</w:t>
      </w:r>
      <w:r w:rsidRPr="00B814A4">
        <w:rPr>
          <w:rFonts w:cstheme="minorHAnsi"/>
          <w:sz w:val="24"/>
          <w:szCs w:val="24"/>
        </w:rPr>
        <w:tab/>
        <w:t>Jakie czynniki mają największy wpływ na występowanie zidentyfikowanego zróżnicowania?</w:t>
      </w:r>
    </w:p>
    <w:p w14:paraId="2BE3513A" w14:textId="77777777" w:rsidR="00F65741" w:rsidRPr="00B814A4" w:rsidRDefault="00F65741" w:rsidP="00B814A4">
      <w:pPr>
        <w:spacing w:line="276" w:lineRule="auto"/>
        <w:ind w:left="284"/>
        <w:jc w:val="both"/>
        <w:rPr>
          <w:rFonts w:cstheme="minorHAnsi"/>
          <w:sz w:val="24"/>
          <w:szCs w:val="24"/>
        </w:rPr>
      </w:pPr>
      <w:r w:rsidRPr="00B814A4">
        <w:rPr>
          <w:rFonts w:cstheme="minorHAnsi"/>
          <w:sz w:val="24"/>
          <w:szCs w:val="24"/>
        </w:rPr>
        <w:t>e.</w:t>
      </w:r>
      <w:r w:rsidRPr="00B814A4">
        <w:rPr>
          <w:rFonts w:cstheme="minorHAnsi"/>
          <w:sz w:val="24"/>
          <w:szCs w:val="24"/>
        </w:rPr>
        <w:tab/>
        <w:t xml:space="preserve">Czy można zidentyfikować podmioty lub ich grupy, w przypadku których analizowane ceny usług istotnie odbiegają od cen przeciętnych? </w:t>
      </w:r>
    </w:p>
    <w:p w14:paraId="4AAFE374" w14:textId="77777777" w:rsidR="00F65741" w:rsidRPr="00B814A4" w:rsidRDefault="00F65741" w:rsidP="00B814A4">
      <w:pPr>
        <w:tabs>
          <w:tab w:val="left" w:pos="284"/>
          <w:tab w:val="left" w:pos="1276"/>
        </w:tabs>
        <w:spacing w:line="276" w:lineRule="auto"/>
        <w:jc w:val="both"/>
        <w:rPr>
          <w:rFonts w:cstheme="minorHAnsi"/>
          <w:sz w:val="24"/>
          <w:szCs w:val="24"/>
        </w:rPr>
      </w:pPr>
      <w:r w:rsidRPr="00B814A4">
        <w:rPr>
          <w:rFonts w:cstheme="minorHAnsi"/>
          <w:sz w:val="24"/>
          <w:szCs w:val="24"/>
        </w:rPr>
        <w:t>2.</w:t>
      </w:r>
      <w:r w:rsidRPr="00B814A4">
        <w:rPr>
          <w:rFonts w:cstheme="minorHAnsi"/>
          <w:sz w:val="24"/>
          <w:szCs w:val="24"/>
        </w:rPr>
        <w:tab/>
        <w:t>Jaka jest konkurencyjność cenowa usług zawartych w BUR, w porównaniu do analogicznych usług dostępnych poza bazą?</w:t>
      </w:r>
    </w:p>
    <w:p w14:paraId="58B5BA9F" w14:textId="77777777" w:rsidR="00F65741" w:rsidRPr="00B814A4" w:rsidRDefault="00F65741" w:rsidP="00B814A4">
      <w:pPr>
        <w:spacing w:line="276" w:lineRule="auto"/>
        <w:ind w:left="284"/>
        <w:jc w:val="both"/>
        <w:rPr>
          <w:rFonts w:cstheme="minorHAnsi"/>
          <w:sz w:val="24"/>
          <w:szCs w:val="24"/>
        </w:rPr>
      </w:pPr>
      <w:r w:rsidRPr="00B814A4">
        <w:rPr>
          <w:rFonts w:cstheme="minorHAnsi"/>
          <w:sz w:val="24"/>
          <w:szCs w:val="24"/>
        </w:rPr>
        <w:t>a.</w:t>
      </w:r>
      <w:r w:rsidRPr="00B814A4">
        <w:rPr>
          <w:rFonts w:cstheme="minorHAnsi"/>
          <w:sz w:val="24"/>
          <w:szCs w:val="24"/>
        </w:rPr>
        <w:tab/>
        <w:t>Czy, a jeśli tak to jaka jest różnica w przeciętnych cenach usług w BUR oraz usługach rynkowych?</w:t>
      </w:r>
    </w:p>
    <w:p w14:paraId="4EC54BAA" w14:textId="77777777" w:rsidR="00F65741" w:rsidRPr="00B814A4" w:rsidRDefault="00F65741" w:rsidP="00B814A4">
      <w:pPr>
        <w:spacing w:line="276" w:lineRule="auto"/>
        <w:ind w:left="284"/>
        <w:jc w:val="both"/>
        <w:rPr>
          <w:rFonts w:cstheme="minorHAnsi"/>
          <w:sz w:val="24"/>
          <w:szCs w:val="24"/>
        </w:rPr>
      </w:pPr>
      <w:r w:rsidRPr="00B814A4">
        <w:rPr>
          <w:rFonts w:cstheme="minorHAnsi"/>
          <w:sz w:val="24"/>
          <w:szCs w:val="24"/>
        </w:rPr>
        <w:t>b.</w:t>
      </w:r>
      <w:r w:rsidRPr="00B814A4">
        <w:rPr>
          <w:rFonts w:cstheme="minorHAnsi"/>
          <w:sz w:val="24"/>
          <w:szCs w:val="24"/>
        </w:rPr>
        <w:tab/>
        <w:t>W przypadku których grup usług występują największe rozbieżności cenowe?</w:t>
      </w:r>
    </w:p>
    <w:p w14:paraId="01F493CD" w14:textId="77777777" w:rsidR="00F65741" w:rsidRPr="00B814A4" w:rsidRDefault="00F65741" w:rsidP="00B814A4">
      <w:pPr>
        <w:spacing w:line="276" w:lineRule="auto"/>
        <w:ind w:left="284"/>
        <w:jc w:val="both"/>
        <w:rPr>
          <w:rFonts w:cstheme="minorHAnsi"/>
          <w:sz w:val="24"/>
          <w:szCs w:val="24"/>
        </w:rPr>
      </w:pPr>
      <w:r w:rsidRPr="00B814A4">
        <w:rPr>
          <w:rFonts w:cstheme="minorHAnsi"/>
          <w:sz w:val="24"/>
          <w:szCs w:val="24"/>
        </w:rPr>
        <w:t>c.</w:t>
      </w:r>
      <w:r w:rsidRPr="00B814A4">
        <w:rPr>
          <w:rFonts w:cstheme="minorHAnsi"/>
          <w:sz w:val="24"/>
          <w:szCs w:val="24"/>
        </w:rPr>
        <w:tab/>
        <w:t>Czy, a jeśli tak to dlaczego firmy decydują się na skorzystanie z usług rozwojowych dostępnych w BUR, których cena istotnie odbiega od cen rynkowych?</w:t>
      </w:r>
    </w:p>
    <w:p w14:paraId="1ED6C730" w14:textId="77777777" w:rsidR="00F65741" w:rsidRPr="00B814A4" w:rsidRDefault="00F65741" w:rsidP="00B814A4">
      <w:pPr>
        <w:tabs>
          <w:tab w:val="left" w:pos="284"/>
          <w:tab w:val="left" w:pos="1276"/>
        </w:tabs>
        <w:spacing w:line="276" w:lineRule="auto"/>
        <w:jc w:val="both"/>
        <w:rPr>
          <w:rFonts w:cstheme="minorHAnsi"/>
          <w:sz w:val="24"/>
          <w:szCs w:val="24"/>
        </w:rPr>
      </w:pPr>
      <w:r w:rsidRPr="00B814A4">
        <w:rPr>
          <w:rFonts w:cstheme="minorHAnsi"/>
          <w:sz w:val="24"/>
          <w:szCs w:val="24"/>
        </w:rPr>
        <w:t>3.</w:t>
      </w:r>
      <w:r w:rsidRPr="00B814A4">
        <w:rPr>
          <w:rFonts w:cstheme="minorHAnsi"/>
          <w:sz w:val="24"/>
          <w:szCs w:val="24"/>
        </w:rPr>
        <w:tab/>
        <w:t xml:space="preserve">Jakie mechanizmy należy wdrożyć, by uniknąć sytuacji, w których przedsiębiorstwa wybierają z BUR usługi, które istotnie odbiegają od cen rynkowych, przy jednoczesnym braku merytorycznego uzasadnienia?   </w:t>
      </w:r>
    </w:p>
    <w:p w14:paraId="30A43A42" w14:textId="77777777" w:rsidR="00F65741" w:rsidRPr="00B814A4" w:rsidRDefault="00F65741" w:rsidP="00B814A4">
      <w:pPr>
        <w:spacing w:line="276" w:lineRule="auto"/>
        <w:ind w:left="284"/>
        <w:jc w:val="both"/>
        <w:rPr>
          <w:rFonts w:cstheme="minorHAnsi"/>
          <w:sz w:val="24"/>
          <w:szCs w:val="24"/>
        </w:rPr>
      </w:pPr>
      <w:r w:rsidRPr="00B814A4">
        <w:rPr>
          <w:rFonts w:cstheme="minorHAnsi"/>
          <w:sz w:val="24"/>
          <w:szCs w:val="24"/>
        </w:rPr>
        <w:t>a.</w:t>
      </w:r>
      <w:r w:rsidRPr="00B814A4">
        <w:rPr>
          <w:rFonts w:cstheme="minorHAnsi"/>
          <w:sz w:val="24"/>
          <w:szCs w:val="24"/>
        </w:rPr>
        <w:tab/>
        <w:t>Jakie powinny być akceptowalne przedziały cenowe dla poszczególnych kategorii tematycznych i form usług rozwojowych dostępnych w BUR?</w:t>
      </w:r>
    </w:p>
    <w:p w14:paraId="051B7AD0" w14:textId="66BC701E" w:rsidR="00F65741" w:rsidRPr="00B814A4" w:rsidRDefault="00F65741" w:rsidP="00B814A4">
      <w:pPr>
        <w:spacing w:line="276" w:lineRule="auto"/>
        <w:ind w:left="284"/>
        <w:jc w:val="both"/>
        <w:rPr>
          <w:rFonts w:cstheme="minorHAnsi"/>
          <w:sz w:val="24"/>
          <w:szCs w:val="24"/>
        </w:rPr>
      </w:pPr>
      <w:r w:rsidRPr="00B814A4">
        <w:rPr>
          <w:rFonts w:cstheme="minorHAnsi"/>
          <w:sz w:val="24"/>
          <w:szCs w:val="24"/>
        </w:rPr>
        <w:t>b.</w:t>
      </w:r>
      <w:r w:rsidRPr="00B814A4">
        <w:rPr>
          <w:rFonts w:cstheme="minorHAnsi"/>
          <w:sz w:val="24"/>
          <w:szCs w:val="24"/>
        </w:rPr>
        <w:tab/>
        <w:t>Jaka powinna być procedura weryfikacji cen oraz zasadności merytorycznej</w:t>
      </w:r>
      <w:r w:rsidR="00220D1F" w:rsidRPr="00B814A4">
        <w:rPr>
          <w:rFonts w:cstheme="minorHAnsi"/>
          <w:sz w:val="24"/>
          <w:szCs w:val="24"/>
        </w:rPr>
        <w:t xml:space="preserve"> </w:t>
      </w:r>
      <w:r w:rsidRPr="00B814A4">
        <w:rPr>
          <w:rFonts w:cstheme="minorHAnsi"/>
          <w:sz w:val="24"/>
          <w:szCs w:val="24"/>
        </w:rPr>
        <w:t xml:space="preserve"> w przypadku usług, których koszty istotnie odbiegają od cen rynkowych?</w:t>
      </w:r>
    </w:p>
    <w:p w14:paraId="07F56DD7" w14:textId="0A433397" w:rsidR="00F65741" w:rsidRPr="00B814A4" w:rsidRDefault="00F65741" w:rsidP="00B814A4">
      <w:pPr>
        <w:spacing w:line="276" w:lineRule="auto"/>
        <w:ind w:left="284"/>
        <w:jc w:val="both"/>
        <w:rPr>
          <w:rFonts w:cstheme="minorHAnsi"/>
          <w:sz w:val="24"/>
          <w:szCs w:val="24"/>
        </w:rPr>
      </w:pPr>
      <w:r w:rsidRPr="00B814A4">
        <w:rPr>
          <w:rFonts w:cstheme="minorHAnsi"/>
          <w:sz w:val="24"/>
          <w:szCs w:val="24"/>
        </w:rPr>
        <w:t>c.</w:t>
      </w:r>
      <w:r w:rsidRPr="00B814A4">
        <w:rPr>
          <w:rFonts w:cstheme="minorHAnsi"/>
          <w:sz w:val="24"/>
          <w:szCs w:val="24"/>
        </w:rPr>
        <w:tab/>
        <w:t>Jakie mechanizmy należy wdrożyć w ramach BUR, by w sposób automatyczny identyfikować usługi, których koszt istotnie odbiega od cen rynkowych?</w:t>
      </w:r>
    </w:p>
    <w:p w14:paraId="23CD7547" w14:textId="77777777" w:rsidR="00821314" w:rsidRPr="00B814A4" w:rsidRDefault="00821314" w:rsidP="00B814A4">
      <w:pPr>
        <w:spacing w:after="0" w:line="276" w:lineRule="auto"/>
        <w:jc w:val="both"/>
        <w:rPr>
          <w:rFonts w:cstheme="minorHAnsi"/>
          <w:b/>
          <w:sz w:val="24"/>
          <w:szCs w:val="24"/>
        </w:rPr>
      </w:pPr>
    </w:p>
    <w:p w14:paraId="04A2A00E" w14:textId="0D2D7425" w:rsidR="0034007B" w:rsidRPr="00B814A4" w:rsidRDefault="0034007B" w:rsidP="00B814A4">
      <w:pPr>
        <w:spacing w:after="0" w:line="276" w:lineRule="auto"/>
        <w:jc w:val="both"/>
        <w:rPr>
          <w:rFonts w:cstheme="minorHAnsi"/>
          <w:b/>
          <w:sz w:val="24"/>
          <w:szCs w:val="24"/>
          <w:u w:val="single"/>
        </w:rPr>
      </w:pPr>
      <w:r w:rsidRPr="00B814A4">
        <w:rPr>
          <w:rFonts w:cstheme="minorHAnsi"/>
          <w:b/>
          <w:sz w:val="24"/>
          <w:szCs w:val="24"/>
          <w:u w:val="single"/>
        </w:rPr>
        <w:t>Zakres zamówienia:</w:t>
      </w:r>
    </w:p>
    <w:p w14:paraId="2A189FE2" w14:textId="3C6037F0" w:rsidR="005F452E" w:rsidRPr="00B814A4" w:rsidRDefault="006D2798" w:rsidP="00B814A4">
      <w:pPr>
        <w:pStyle w:val="Akapitzlist"/>
        <w:numPr>
          <w:ilvl w:val="0"/>
          <w:numId w:val="2"/>
        </w:numPr>
        <w:spacing w:line="276" w:lineRule="auto"/>
        <w:jc w:val="both"/>
        <w:rPr>
          <w:rFonts w:cstheme="minorHAnsi"/>
          <w:sz w:val="24"/>
          <w:szCs w:val="24"/>
        </w:rPr>
      </w:pPr>
      <w:r w:rsidRPr="00B814A4">
        <w:rPr>
          <w:rFonts w:cstheme="minorHAnsi"/>
          <w:b/>
          <w:sz w:val="24"/>
          <w:szCs w:val="24"/>
        </w:rPr>
        <w:t xml:space="preserve">Analiza danych </w:t>
      </w:r>
      <w:r w:rsidR="004C6759" w:rsidRPr="00B814A4">
        <w:rPr>
          <w:rFonts w:cstheme="minorHAnsi"/>
          <w:b/>
          <w:sz w:val="24"/>
          <w:szCs w:val="24"/>
        </w:rPr>
        <w:t xml:space="preserve">zastanych </w:t>
      </w:r>
      <w:r w:rsidRPr="00B814A4">
        <w:rPr>
          <w:rFonts w:cstheme="minorHAnsi"/>
          <w:b/>
          <w:sz w:val="24"/>
          <w:szCs w:val="24"/>
        </w:rPr>
        <w:t xml:space="preserve">z Bazy Usług Rozwojowych </w:t>
      </w:r>
      <w:r w:rsidR="004C6759" w:rsidRPr="00B814A4">
        <w:rPr>
          <w:rFonts w:cstheme="minorHAnsi"/>
          <w:b/>
          <w:sz w:val="24"/>
          <w:szCs w:val="24"/>
        </w:rPr>
        <w:t>(</w:t>
      </w:r>
      <w:proofErr w:type="spellStart"/>
      <w:r w:rsidR="003B425D" w:rsidRPr="00B814A4">
        <w:rPr>
          <w:rFonts w:cstheme="minorHAnsi"/>
          <w:b/>
          <w:sz w:val="24"/>
          <w:szCs w:val="24"/>
        </w:rPr>
        <w:t>desk</w:t>
      </w:r>
      <w:proofErr w:type="spellEnd"/>
      <w:r w:rsidR="003B425D" w:rsidRPr="00B814A4">
        <w:rPr>
          <w:rFonts w:cstheme="minorHAnsi"/>
          <w:b/>
          <w:sz w:val="24"/>
          <w:szCs w:val="24"/>
        </w:rPr>
        <w:t xml:space="preserve"> </w:t>
      </w:r>
      <w:proofErr w:type="spellStart"/>
      <w:r w:rsidR="003B425D" w:rsidRPr="00B814A4">
        <w:rPr>
          <w:rFonts w:cstheme="minorHAnsi"/>
          <w:b/>
          <w:sz w:val="24"/>
          <w:szCs w:val="24"/>
        </w:rPr>
        <w:t>research</w:t>
      </w:r>
      <w:proofErr w:type="spellEnd"/>
      <w:r w:rsidR="003B425D" w:rsidRPr="00B814A4">
        <w:rPr>
          <w:rFonts w:cstheme="minorHAnsi"/>
          <w:b/>
          <w:sz w:val="24"/>
          <w:szCs w:val="24"/>
        </w:rPr>
        <w:t>)</w:t>
      </w:r>
      <w:r w:rsidR="003B425D" w:rsidRPr="00B814A4">
        <w:rPr>
          <w:rFonts w:cstheme="minorHAnsi"/>
          <w:sz w:val="24"/>
          <w:szCs w:val="24"/>
        </w:rPr>
        <w:t xml:space="preserve"> – </w:t>
      </w:r>
      <w:r w:rsidR="001950F0" w:rsidRPr="00B814A4">
        <w:rPr>
          <w:rFonts w:cstheme="minorHAnsi"/>
          <w:sz w:val="24"/>
          <w:szCs w:val="24"/>
        </w:rPr>
        <w:t>na początku realizacji badania Wykonawca otrzyma kopię bazy usług rozwojowych obejmującą wszystkie zarejestrowane w niej usługi, począw</w:t>
      </w:r>
      <w:r w:rsidR="00FD6175" w:rsidRPr="00B814A4">
        <w:rPr>
          <w:rFonts w:cstheme="minorHAnsi"/>
          <w:sz w:val="24"/>
          <w:szCs w:val="24"/>
        </w:rPr>
        <w:t>szy od momentu uruchomienia BUR</w:t>
      </w:r>
      <w:r w:rsidR="00AA7506" w:rsidRPr="00B814A4">
        <w:rPr>
          <w:rFonts w:cstheme="minorHAnsi"/>
          <w:sz w:val="24"/>
          <w:szCs w:val="24"/>
        </w:rPr>
        <w:t>.</w:t>
      </w:r>
      <w:r w:rsidR="00FD6175" w:rsidRPr="00B814A4">
        <w:rPr>
          <w:rFonts w:cstheme="minorHAnsi"/>
          <w:sz w:val="24"/>
          <w:szCs w:val="24"/>
        </w:rPr>
        <w:t xml:space="preserve"> </w:t>
      </w:r>
      <w:r w:rsidR="001950F0" w:rsidRPr="00B814A4">
        <w:rPr>
          <w:rFonts w:cstheme="minorHAnsi"/>
          <w:sz w:val="24"/>
          <w:szCs w:val="24"/>
        </w:rPr>
        <w:t>Zadaniem Wykonawcy będzie przeprowadzenie statystycznej oraz jakościowej analizy danych</w:t>
      </w:r>
      <w:r w:rsidR="00FD6175" w:rsidRPr="00B814A4">
        <w:rPr>
          <w:rFonts w:cstheme="minorHAnsi"/>
          <w:sz w:val="24"/>
          <w:szCs w:val="24"/>
        </w:rPr>
        <w:t xml:space="preserve">. </w:t>
      </w:r>
      <w:r w:rsidR="001950F0" w:rsidRPr="00B814A4">
        <w:rPr>
          <w:rFonts w:cstheme="minorHAnsi"/>
          <w:sz w:val="24"/>
          <w:szCs w:val="24"/>
        </w:rPr>
        <w:t>W zakres prac Wykonawcy wchodzić będzie w szczególności:</w:t>
      </w:r>
    </w:p>
    <w:p w14:paraId="01FFB819" w14:textId="77777777" w:rsidR="00AA7506" w:rsidRPr="00B814A4" w:rsidRDefault="00AA7506" w:rsidP="00B814A4">
      <w:pPr>
        <w:pStyle w:val="Akapitzlist"/>
        <w:numPr>
          <w:ilvl w:val="1"/>
          <w:numId w:val="2"/>
        </w:numPr>
        <w:spacing w:before="100" w:after="200" w:line="276" w:lineRule="auto"/>
        <w:ind w:left="1134"/>
        <w:jc w:val="both"/>
        <w:rPr>
          <w:rFonts w:cstheme="minorHAnsi"/>
          <w:sz w:val="24"/>
          <w:szCs w:val="24"/>
        </w:rPr>
      </w:pPr>
      <w:r w:rsidRPr="00B814A4">
        <w:rPr>
          <w:rFonts w:cstheme="minorHAnsi"/>
          <w:sz w:val="24"/>
          <w:szCs w:val="24"/>
        </w:rPr>
        <w:t xml:space="preserve">przygotowanie zbioru danych do analizy. W tym kontekście należy zauważyć, że w bazie znajdują się usługi z całego okresu funkcjonowania BUR. Występują w niej rozmaite sytuacje wymagające odpowiedniej decyzji analityka, w tym m.in. braki danych na wybranych zmiennych, wielokrotne występowanie tych samych usług (np. ta sama usługa osobno zarejestrowana w każdym z województw, okresowe powtarzanie się tych samych usług w kolejnych okresach – miesiącach/ latach), przypisanie jednej usługi do wielu różnych kategorii tematycznych, itp. Zadaniem Wykonawcy będzie takie przygotowanie zbioru do analiz, by możliwe było udzielenie precyzyjnej odpowiedzi na postawione pytania badawcze. Wszystkie </w:t>
      </w:r>
      <w:r w:rsidRPr="00B814A4">
        <w:rPr>
          <w:rFonts w:cstheme="minorHAnsi"/>
          <w:sz w:val="24"/>
          <w:szCs w:val="24"/>
        </w:rPr>
        <w:lastRenderedPageBreak/>
        <w:t xml:space="preserve">decyzje związane z przygotowaniem zbioru do analizy powinny zostać opisane w ramach części technicznej raportu cząstkowego. Jednocześnie kluczowe decyzje w tym zakresie powinny zostać uzgodnione z Zamawiającym. </w:t>
      </w:r>
    </w:p>
    <w:p w14:paraId="4A46563F" w14:textId="77777777" w:rsidR="00AA7506" w:rsidRPr="00B814A4" w:rsidRDefault="00AA7506" w:rsidP="00B814A4">
      <w:pPr>
        <w:pStyle w:val="Akapitzlist"/>
        <w:spacing w:line="276" w:lineRule="auto"/>
        <w:ind w:left="1134"/>
        <w:rPr>
          <w:rFonts w:cstheme="minorHAnsi"/>
          <w:sz w:val="24"/>
          <w:szCs w:val="24"/>
        </w:rPr>
      </w:pPr>
      <w:r w:rsidRPr="00B814A4">
        <w:rPr>
          <w:rFonts w:cstheme="minorHAnsi"/>
          <w:sz w:val="24"/>
          <w:szCs w:val="24"/>
        </w:rPr>
        <w:t>W ramach procesu przygotowania zbioru do analizy zadaniem Wykonawcy będzie również zaproponowanie zaktualizowanej wersji klasyfikacji tematycznej poszczególnych usług rozwojowych, a następnie – po uzgodnieniu tej kwestii z Zamawiającym – przypisanie poszczególnych usług z BUR do nowoutworzonych/ zaktualizowanych kategorii. Aktualna wersja klasyfikacji (kategorii głównych oraz podkategorii), wymagała będzie modyfikacji z uwagi na fakt, iż nie jest w wystarczającym stopniu jednorodna oraz rozłączna. Docelowe kategorie powinny obejmować możliwie homogeniczne usługi biorąc pod uwagę ich tematykę</w:t>
      </w:r>
      <w:r w:rsidRPr="00B814A4">
        <w:rPr>
          <w:rStyle w:val="Odwoanieprzypisudolnego"/>
          <w:rFonts w:cstheme="minorHAnsi"/>
          <w:sz w:val="24"/>
          <w:szCs w:val="24"/>
        </w:rPr>
        <w:footnoteReference w:id="1"/>
      </w:r>
      <w:r w:rsidRPr="00B814A4">
        <w:rPr>
          <w:rFonts w:cstheme="minorHAnsi"/>
          <w:sz w:val="24"/>
          <w:szCs w:val="24"/>
        </w:rPr>
        <w:t xml:space="preserve">. Kategorie powinny być również możliwie rozłączne (jedna usługa powinna być co do zasady przypisana do jednej kategorii głównej). Jednocześnie liczba kategorii nie powinna być zbyt liczna i nie powinna przekroczyć ok. 100 pozycji. </w:t>
      </w:r>
    </w:p>
    <w:p w14:paraId="076798F3" w14:textId="77777777" w:rsidR="00AA7506" w:rsidRPr="00B814A4" w:rsidRDefault="00AA7506" w:rsidP="00B814A4">
      <w:pPr>
        <w:pStyle w:val="Akapitzlist"/>
        <w:spacing w:line="276" w:lineRule="auto"/>
        <w:ind w:left="1134"/>
        <w:rPr>
          <w:rFonts w:cstheme="minorHAnsi"/>
          <w:sz w:val="24"/>
          <w:szCs w:val="24"/>
        </w:rPr>
      </w:pPr>
      <w:r w:rsidRPr="00B814A4">
        <w:rPr>
          <w:rFonts w:cstheme="minorHAnsi"/>
          <w:sz w:val="24"/>
          <w:szCs w:val="24"/>
        </w:rPr>
        <w:t xml:space="preserve">Zaproponowana kategoryzacja będzie podstawą dalszej analizy danych zastanych, </w:t>
      </w:r>
      <w:r w:rsidRPr="00B814A4">
        <w:rPr>
          <w:rFonts w:cstheme="minorHAnsi"/>
          <w:sz w:val="24"/>
          <w:szCs w:val="24"/>
        </w:rPr>
        <w:br/>
        <w:t xml:space="preserve">a następnie zostanie wykorzystana do zaplanowania oraz realizacji badania ilościowego typu </w:t>
      </w:r>
      <w:proofErr w:type="spellStart"/>
      <w:r w:rsidRPr="00B814A4">
        <w:rPr>
          <w:rFonts w:cstheme="minorHAnsi"/>
          <w:i/>
          <w:sz w:val="24"/>
          <w:szCs w:val="24"/>
        </w:rPr>
        <w:t>Mystery</w:t>
      </w:r>
      <w:proofErr w:type="spellEnd"/>
      <w:r w:rsidRPr="00B814A4">
        <w:rPr>
          <w:rFonts w:cstheme="minorHAnsi"/>
          <w:i/>
          <w:sz w:val="24"/>
          <w:szCs w:val="24"/>
        </w:rPr>
        <w:t xml:space="preserve"> shopping</w:t>
      </w:r>
      <w:r w:rsidRPr="00B814A4">
        <w:rPr>
          <w:rFonts w:cstheme="minorHAnsi"/>
          <w:sz w:val="24"/>
          <w:szCs w:val="24"/>
        </w:rPr>
        <w:t xml:space="preserve">. </w:t>
      </w:r>
    </w:p>
    <w:p w14:paraId="2C635647" w14:textId="307E2D80" w:rsidR="00AA7506" w:rsidRPr="00B814A4" w:rsidRDefault="00AA7506" w:rsidP="00B814A4">
      <w:pPr>
        <w:pStyle w:val="Akapitzlist"/>
        <w:numPr>
          <w:ilvl w:val="1"/>
          <w:numId w:val="2"/>
        </w:numPr>
        <w:spacing w:before="100" w:after="200" w:line="276" w:lineRule="auto"/>
        <w:ind w:left="1134"/>
        <w:jc w:val="both"/>
        <w:rPr>
          <w:rFonts w:cstheme="minorHAnsi"/>
          <w:sz w:val="24"/>
          <w:szCs w:val="24"/>
        </w:rPr>
      </w:pPr>
      <w:r w:rsidRPr="00B814A4">
        <w:rPr>
          <w:rFonts w:cstheme="minorHAnsi"/>
          <w:sz w:val="24"/>
          <w:szCs w:val="24"/>
        </w:rPr>
        <w:t>po przygotowaniu zbioru danych wykonana zostanie analiza cen usług rozwojowych dostępnych w BUR (zarówno cen łącznych za usługę jak i za godzinę szkoleniową danej usługi). Przeprowadzona analiza będzie wykonana z uwzględnieniem wykonanej kategoryzacji, o której mowa w lit. a. powyżej. Wykonawca przeprowadzi analizę cen z wykorzystaniem różnych miar rozkładu zmiennych, w tym co najmniej przeanalizuje wartości średniej arytmetycznej, mediany, wartości minimalnej i maksymalnej, rozstępu, odchylenia standardowego oraz współczynnika zmienności (</w:t>
      </w:r>
      <w:proofErr w:type="spellStart"/>
      <w:r w:rsidRPr="00B814A4">
        <w:rPr>
          <w:rFonts w:cstheme="minorHAnsi"/>
          <w:i/>
          <w:sz w:val="24"/>
          <w:szCs w:val="24"/>
        </w:rPr>
        <w:t>coefficient</w:t>
      </w:r>
      <w:proofErr w:type="spellEnd"/>
      <w:r w:rsidRPr="00B814A4">
        <w:rPr>
          <w:rFonts w:cstheme="minorHAnsi"/>
          <w:i/>
          <w:sz w:val="24"/>
          <w:szCs w:val="24"/>
        </w:rPr>
        <w:t xml:space="preserve"> of </w:t>
      </w:r>
      <w:proofErr w:type="spellStart"/>
      <w:r w:rsidRPr="00B814A4">
        <w:rPr>
          <w:rFonts w:cstheme="minorHAnsi"/>
          <w:i/>
          <w:sz w:val="24"/>
          <w:szCs w:val="24"/>
        </w:rPr>
        <w:t>variation</w:t>
      </w:r>
      <w:proofErr w:type="spellEnd"/>
      <w:r w:rsidRPr="00B814A4">
        <w:rPr>
          <w:rFonts w:cstheme="minorHAnsi"/>
          <w:sz w:val="24"/>
          <w:szCs w:val="24"/>
        </w:rPr>
        <w:t xml:space="preserve">). Na podstawie przeprowadzonej analizy Wykonawca wskaże te kategorie usług, w przypadku których zróżnicowanie cen jednostkowych jest największe (współczynnik zmienności przyjmuje wysokie wartości). W dalszej kolejności zidentyfikowane zostaną tzw. jednostki odstające/ nietypowe, tj. takie usługi rozwojowe, których ceny istotnie odbiegają od przeciętnych cen w ramach danej kategorii tematycznej. W celu identyfikacji jednostek odstających/ nietypowych Wykonawca posłuży się kryterium/kryteriami statystycznym/i, które zostaną ustalone na etapie eksploracji danych z BUR. Poszczególne zestawienia zostaną przygotowane z uwzględnieniem okresu w jakim dostępna była usługa. Ponadto pod uwagę wzięte zostanie ewentualne zróżnicowanie regionalne oraz zróżnicowanie wynikające z typu/ charakteru usługodawcy. W toku analiz </w:t>
      </w:r>
      <w:r w:rsidRPr="00B814A4">
        <w:rPr>
          <w:rFonts w:cstheme="minorHAnsi"/>
          <w:sz w:val="24"/>
          <w:szCs w:val="24"/>
        </w:rPr>
        <w:lastRenderedPageBreak/>
        <w:t xml:space="preserve">Wykonawca podejmie również próbę identyfikacji innych czynników dostępnych w BUR, które pozostają w związku z wielkością zróżnicowania cen. </w:t>
      </w:r>
    </w:p>
    <w:p w14:paraId="44799667" w14:textId="77777777" w:rsidR="00AA7506" w:rsidRPr="00B814A4" w:rsidRDefault="00AA7506" w:rsidP="00B814A4">
      <w:pPr>
        <w:pStyle w:val="Akapitzlist"/>
        <w:spacing w:line="276" w:lineRule="auto"/>
        <w:ind w:left="1080"/>
        <w:jc w:val="both"/>
        <w:rPr>
          <w:rFonts w:cstheme="minorHAnsi"/>
          <w:sz w:val="24"/>
          <w:szCs w:val="24"/>
        </w:rPr>
      </w:pPr>
    </w:p>
    <w:p w14:paraId="63CBA691" w14:textId="77777777" w:rsidR="00B841C5" w:rsidRPr="00B814A4" w:rsidRDefault="003B425D" w:rsidP="00B814A4">
      <w:pPr>
        <w:pStyle w:val="Akapitzlist"/>
        <w:numPr>
          <w:ilvl w:val="0"/>
          <w:numId w:val="2"/>
        </w:numPr>
        <w:spacing w:line="276" w:lineRule="auto"/>
        <w:jc w:val="both"/>
        <w:rPr>
          <w:rFonts w:cstheme="minorHAnsi"/>
          <w:b/>
          <w:sz w:val="24"/>
          <w:szCs w:val="24"/>
        </w:rPr>
      </w:pPr>
      <w:r w:rsidRPr="00B814A4">
        <w:rPr>
          <w:rFonts w:cstheme="minorHAnsi"/>
          <w:b/>
          <w:sz w:val="24"/>
          <w:szCs w:val="24"/>
        </w:rPr>
        <w:t xml:space="preserve">Analiza cen rynkowych </w:t>
      </w:r>
      <w:r w:rsidR="006458F3" w:rsidRPr="00B814A4">
        <w:rPr>
          <w:rFonts w:cstheme="minorHAnsi"/>
          <w:b/>
          <w:sz w:val="24"/>
          <w:szCs w:val="24"/>
        </w:rPr>
        <w:t>– b</w:t>
      </w:r>
      <w:r w:rsidRPr="00B814A4">
        <w:rPr>
          <w:rFonts w:cstheme="minorHAnsi"/>
          <w:b/>
          <w:sz w:val="24"/>
          <w:szCs w:val="24"/>
        </w:rPr>
        <w:t xml:space="preserve">adanie typu </w:t>
      </w:r>
      <w:proofErr w:type="spellStart"/>
      <w:r w:rsidRPr="00B814A4">
        <w:rPr>
          <w:rFonts w:cstheme="minorHAnsi"/>
          <w:b/>
          <w:i/>
          <w:sz w:val="24"/>
          <w:szCs w:val="24"/>
        </w:rPr>
        <w:t>mystery</w:t>
      </w:r>
      <w:proofErr w:type="spellEnd"/>
      <w:r w:rsidRPr="00B814A4">
        <w:rPr>
          <w:rFonts w:cstheme="minorHAnsi"/>
          <w:b/>
          <w:i/>
          <w:sz w:val="24"/>
          <w:szCs w:val="24"/>
        </w:rPr>
        <w:t xml:space="preserve"> shopping</w:t>
      </w:r>
      <w:r w:rsidRPr="00B814A4">
        <w:rPr>
          <w:rFonts w:cstheme="minorHAnsi"/>
          <w:b/>
          <w:sz w:val="24"/>
          <w:szCs w:val="24"/>
        </w:rPr>
        <w:t xml:space="preserve"> (MS) </w:t>
      </w:r>
    </w:p>
    <w:p w14:paraId="56D92AC4" w14:textId="4881DEB3" w:rsidR="00B841C5" w:rsidRPr="00B814A4" w:rsidRDefault="00B841C5" w:rsidP="00B814A4">
      <w:pPr>
        <w:pStyle w:val="Akapitzlist"/>
        <w:spacing w:line="276" w:lineRule="auto"/>
        <w:jc w:val="both"/>
        <w:rPr>
          <w:rFonts w:cstheme="minorHAnsi"/>
          <w:sz w:val="24"/>
          <w:szCs w:val="24"/>
        </w:rPr>
      </w:pPr>
      <w:r w:rsidRPr="00B814A4">
        <w:rPr>
          <w:rFonts w:cstheme="minorHAnsi"/>
          <w:sz w:val="24"/>
          <w:szCs w:val="24"/>
        </w:rPr>
        <w:t>Celem MS będzie zebranie informacji na temat cen rynkowych usług rozwojowych, analogicznych do tych, które występują w BUR. Badanie zostanie przeprowadzone z zachowaniem standardów właściwych dla badań typu MS</w:t>
      </w:r>
      <w:r w:rsidRPr="00B814A4">
        <w:rPr>
          <w:rStyle w:val="Odwoanieprzypisudolnego"/>
          <w:rFonts w:cstheme="minorHAnsi"/>
          <w:sz w:val="24"/>
          <w:szCs w:val="24"/>
        </w:rPr>
        <w:footnoteReference w:id="2"/>
      </w:r>
      <w:r w:rsidRPr="00B814A4">
        <w:rPr>
          <w:rFonts w:cstheme="minorHAnsi"/>
          <w:sz w:val="24"/>
          <w:szCs w:val="24"/>
        </w:rPr>
        <w:t xml:space="preserve"> . Wykonawca skontaktuje się z wybranymi podmiotami świadczącymi usługi rozwojowe oraz – nie ujawniając, iż kierowane do nich zapytanie ofertowe prowadzone jest w związku z przedmiotowym badaniem – podejmie próbę ustalenia ceny za daną usługę. Zamawiający przewiduje, że podstawowa forma kontaktu z usługodawcami będzie wykonana za pośrednictwem poczty elektronicznej, w razie konieczności będzie wspomagana kontaktem telefonicznym (w charakterze monitu lub rozmowy wyjaśniającej). Co do zasady oczekuje się, że za przebadaną jednostkę uznaje się taką sytuację, dla której uda się pozyskać ofertę cenową na wykonanie danej usługi szkoleniowej, przekazaną przedstawicielowi Wykonawcy w formie elektronicznej. </w:t>
      </w:r>
    </w:p>
    <w:p w14:paraId="644A957D" w14:textId="77777777" w:rsidR="00B841C5" w:rsidRPr="00B814A4" w:rsidRDefault="00B841C5" w:rsidP="00B814A4">
      <w:pPr>
        <w:pStyle w:val="Akapitzlist"/>
        <w:spacing w:line="276" w:lineRule="auto"/>
        <w:jc w:val="both"/>
        <w:rPr>
          <w:rFonts w:cstheme="minorHAnsi"/>
          <w:sz w:val="24"/>
          <w:szCs w:val="24"/>
        </w:rPr>
      </w:pPr>
      <w:r w:rsidRPr="00B814A4">
        <w:rPr>
          <w:rFonts w:cstheme="minorHAnsi"/>
          <w:sz w:val="24"/>
          <w:szCs w:val="24"/>
        </w:rPr>
        <w:t>Ogólna procedura badania MS powinna wyglądać następująco:</w:t>
      </w:r>
    </w:p>
    <w:p w14:paraId="1C55D905" w14:textId="0D40D37F" w:rsidR="00B841C5" w:rsidRPr="00B814A4" w:rsidRDefault="00B841C5" w:rsidP="00B814A4">
      <w:pPr>
        <w:pStyle w:val="Akapitzlist"/>
        <w:spacing w:line="276" w:lineRule="auto"/>
        <w:jc w:val="both"/>
        <w:rPr>
          <w:rFonts w:cstheme="minorHAnsi"/>
          <w:sz w:val="24"/>
          <w:szCs w:val="24"/>
        </w:rPr>
      </w:pPr>
      <w:r w:rsidRPr="00B814A4">
        <w:rPr>
          <w:rFonts w:cstheme="minorHAnsi"/>
          <w:b/>
          <w:sz w:val="24"/>
          <w:szCs w:val="24"/>
        </w:rPr>
        <w:t>a.</w:t>
      </w:r>
      <w:r w:rsidRPr="00B814A4">
        <w:rPr>
          <w:rFonts w:cstheme="minorHAnsi"/>
          <w:b/>
          <w:sz w:val="24"/>
          <w:szCs w:val="24"/>
        </w:rPr>
        <w:tab/>
        <w:t>dobór próby usług rozwojowych</w:t>
      </w:r>
      <w:r w:rsidRPr="00B814A4">
        <w:rPr>
          <w:rFonts w:cstheme="minorHAnsi"/>
          <w:sz w:val="24"/>
          <w:szCs w:val="24"/>
        </w:rPr>
        <w:t xml:space="preserve"> – Wykonawca wybierze z bazy BUR, w ramach ustalonych w pierwszej fazy badania kategorii, próbę co najmniej 600 usług rozwojowych. Zamawiający przewiduje, że zastosowany zostanie dobór próby warstwowy, w ramach warstw losowy. W wariancie podstawowym wykonawca powinien zastosować dobór próby, w którym wszystkie warstwy są równoliczne (przy ok. 100 kategoriach, daje to ok. 6 usług na warstwę</w:t>
      </w:r>
      <w:r w:rsidR="00135661" w:rsidRPr="00B814A4">
        <w:rPr>
          <w:rFonts w:cstheme="minorHAnsi"/>
          <w:sz w:val="24"/>
          <w:szCs w:val="24"/>
        </w:rPr>
        <w:t xml:space="preserve"> – tj. 6 losowo wybranych usług rozwojowych z danej kategorii tematycznej)</w:t>
      </w:r>
      <w:r w:rsidRPr="00B814A4">
        <w:rPr>
          <w:rFonts w:cstheme="minorHAnsi"/>
          <w:sz w:val="24"/>
          <w:szCs w:val="24"/>
        </w:rPr>
        <w:t>.</w:t>
      </w:r>
      <w:r w:rsidR="00135661" w:rsidRPr="00B814A4">
        <w:rPr>
          <w:rFonts w:cstheme="minorHAnsi"/>
          <w:sz w:val="24"/>
          <w:szCs w:val="24"/>
        </w:rPr>
        <w:t xml:space="preserve"> </w:t>
      </w:r>
      <w:r w:rsidRPr="00B814A4">
        <w:rPr>
          <w:rFonts w:cstheme="minorHAnsi"/>
          <w:sz w:val="24"/>
          <w:szCs w:val="24"/>
        </w:rPr>
        <w:t xml:space="preserve">Zamawiający dopuszcza jednak możliwość modyfikacji tego schematu, po wykonaniu prac przewidzianych w I fazie badania. W szczególności możliwe jest zastosowanie schematu zbliżonego do doboru warstwowego, proporcjonalnego, w którym liczniejsze kategorie usług będą również liczniej reprezentowane w próbie lub doboru warstwowego, w którym uwzględniony jest poziom zróżnicowania cen w przypadku poszczególnych usług (dobór próby warstwowy, optymalny). Do rozważenia pozostaje również scenariusz, w którym część kategorii usług, dla których nie występuje istotne zróżnicowanie cen, zostanie pominięta w badaniu MS. Decyzję w tym względzie Wykonawca podejmie w porozumieniu z Zamawiającym po szczegółowej analizie danych w BUR.  </w:t>
      </w:r>
    </w:p>
    <w:p w14:paraId="24734AEB" w14:textId="02223CBB" w:rsidR="00B841C5" w:rsidRPr="00B814A4" w:rsidRDefault="00B841C5" w:rsidP="00B814A4">
      <w:pPr>
        <w:pStyle w:val="Akapitzlist"/>
        <w:spacing w:line="276" w:lineRule="auto"/>
        <w:jc w:val="both"/>
        <w:rPr>
          <w:rFonts w:cstheme="minorHAnsi"/>
          <w:sz w:val="24"/>
          <w:szCs w:val="24"/>
        </w:rPr>
      </w:pPr>
      <w:r w:rsidRPr="00B814A4">
        <w:rPr>
          <w:rFonts w:cstheme="minorHAnsi"/>
          <w:b/>
          <w:sz w:val="24"/>
          <w:szCs w:val="24"/>
        </w:rPr>
        <w:t>b.</w:t>
      </w:r>
      <w:r w:rsidRPr="00B814A4">
        <w:rPr>
          <w:rFonts w:cstheme="minorHAnsi"/>
          <w:b/>
          <w:sz w:val="24"/>
          <w:szCs w:val="24"/>
        </w:rPr>
        <w:tab/>
        <w:t>opracowanie operatu jednostek do badania</w:t>
      </w:r>
      <w:r w:rsidRPr="00B814A4">
        <w:rPr>
          <w:rFonts w:cstheme="minorHAnsi"/>
          <w:sz w:val="24"/>
          <w:szCs w:val="24"/>
        </w:rPr>
        <w:t xml:space="preserve"> – zadaniem Wykonawcy będzie stworzenie bazy podmiotów świadczących usługi szkoleniowe, do których skierowane zostanie zapytanie z prośbą o dokonanie wyceny przedstawianych usług. Zamawiający przewiduje, że ok. połowę podmiotów, do których skierowane zostanie zapytanie, stanowić będą firmy zarejestrowane dotychczas w BUR. Pozostałe firmy muszą zostać </w:t>
      </w:r>
      <w:r w:rsidRPr="00B814A4">
        <w:rPr>
          <w:rFonts w:cstheme="minorHAnsi"/>
          <w:sz w:val="24"/>
          <w:szCs w:val="24"/>
        </w:rPr>
        <w:lastRenderedPageBreak/>
        <w:t>zidentyfikowane samodzielnie przez Wykonawcę</w:t>
      </w:r>
      <w:r w:rsidR="004707D5" w:rsidRPr="00B814A4">
        <w:rPr>
          <w:rStyle w:val="Odwoanieprzypisudolnego"/>
          <w:rFonts w:cstheme="minorHAnsi"/>
          <w:sz w:val="24"/>
          <w:szCs w:val="24"/>
        </w:rPr>
        <w:footnoteReference w:id="3"/>
      </w:r>
      <w:r w:rsidRPr="00B814A4">
        <w:rPr>
          <w:rFonts w:cstheme="minorHAnsi"/>
          <w:sz w:val="24"/>
          <w:szCs w:val="24"/>
        </w:rPr>
        <w:t xml:space="preserve">. Co do zasady muszą być to podmioty, dla których świadczenie usług rozwojowych/ szkoleniowych/ edukacyjnych itp. stanowi podstawową działalność statutową. </w:t>
      </w:r>
    </w:p>
    <w:p w14:paraId="760DD263" w14:textId="77777777" w:rsidR="00B841C5" w:rsidRPr="00B814A4" w:rsidRDefault="00B841C5" w:rsidP="00B814A4">
      <w:pPr>
        <w:pStyle w:val="Akapitzlist"/>
        <w:spacing w:line="276" w:lineRule="auto"/>
        <w:jc w:val="both"/>
        <w:rPr>
          <w:rFonts w:cstheme="minorHAnsi"/>
          <w:sz w:val="24"/>
          <w:szCs w:val="24"/>
        </w:rPr>
      </w:pPr>
      <w:r w:rsidRPr="00B814A4">
        <w:rPr>
          <w:rFonts w:cstheme="minorHAnsi"/>
          <w:sz w:val="24"/>
          <w:szCs w:val="24"/>
        </w:rPr>
        <w:t xml:space="preserve">Na tym etapie powinno zostać również wykonane dopasowanie poszczególnych usług rozwojowych do poszczególnych podmiotów, biorąc pod uwagę tematykę usług będących przedmiotem wyceny oraz specjalizację poszczególnych usługodawców. Co istotne należy zapewnić dużą różnorodność podmiotów, do których będą kierowane zapytania. Przewiduje się, że od jednego klienta/ badacza nie może trafić do jednego usługodawcy więcej niż jedno zapytanie szkoleniowe. To zastrzeżenie dotyczy również różnych klientów/ badaczy, ale działających w tej samej domenie/ podmiocie gospodarczym wysyłającym zapytanie. Co do zasady należy mieć tu na względzie zasady kodeksu ESOMAR, wskazującego by w możliwym stopniu minimalizować potencjalne obciążenie i koszty uczestników badania typu MS. </w:t>
      </w:r>
    </w:p>
    <w:p w14:paraId="0B4D28F0" w14:textId="77777777" w:rsidR="00B841C5" w:rsidRPr="00B814A4" w:rsidRDefault="00B841C5" w:rsidP="00B814A4">
      <w:pPr>
        <w:pStyle w:val="Akapitzlist"/>
        <w:spacing w:line="276" w:lineRule="auto"/>
        <w:jc w:val="both"/>
        <w:rPr>
          <w:rFonts w:cstheme="minorHAnsi"/>
          <w:sz w:val="24"/>
          <w:szCs w:val="24"/>
        </w:rPr>
      </w:pPr>
      <w:r w:rsidRPr="00B814A4">
        <w:rPr>
          <w:rFonts w:cstheme="minorHAnsi"/>
          <w:b/>
          <w:sz w:val="24"/>
          <w:szCs w:val="24"/>
        </w:rPr>
        <w:t>c.</w:t>
      </w:r>
      <w:r w:rsidRPr="00B814A4">
        <w:rPr>
          <w:rFonts w:cstheme="minorHAnsi"/>
          <w:b/>
          <w:sz w:val="24"/>
          <w:szCs w:val="24"/>
        </w:rPr>
        <w:tab/>
        <w:t>określenie zadań badacza</w:t>
      </w:r>
      <w:r w:rsidRPr="00B814A4">
        <w:rPr>
          <w:rFonts w:cstheme="minorHAnsi"/>
          <w:sz w:val="24"/>
          <w:szCs w:val="24"/>
        </w:rPr>
        <w:t xml:space="preserve"> – a więc spisana procedura postepowania – krok po kroku – dla badaczy (tzw. klientów) odpowiedzialnych za kontakt z podmiotami świadczącymi usługi rozwojowe. Celem tego zadania jest zapewnienie maksymalnej standaryzacji postępowania osób odpowiedzialnych za kontakt z usługodawcami. Co do zasady procedura ta powinna obejmować co najmniej: opis sposobu kontaktu z usługodawcami, treść przygotowywanych zapytań ofertowych, sposób i procedura monitowania, procedurę odpowiedzi na potencjalne pytania ze strony usługodawców, sposób rejestrowania i archiwizacji odpowiedzi. </w:t>
      </w:r>
    </w:p>
    <w:p w14:paraId="2A28342A" w14:textId="77777777" w:rsidR="00B841C5" w:rsidRPr="00B814A4" w:rsidRDefault="00B841C5" w:rsidP="00B814A4">
      <w:pPr>
        <w:pStyle w:val="Akapitzlist"/>
        <w:spacing w:line="276" w:lineRule="auto"/>
        <w:jc w:val="both"/>
        <w:rPr>
          <w:rFonts w:cstheme="minorHAnsi"/>
          <w:sz w:val="24"/>
          <w:szCs w:val="24"/>
        </w:rPr>
      </w:pPr>
      <w:r w:rsidRPr="00B814A4">
        <w:rPr>
          <w:rFonts w:cstheme="minorHAnsi"/>
          <w:b/>
          <w:sz w:val="24"/>
          <w:szCs w:val="24"/>
        </w:rPr>
        <w:t>d.</w:t>
      </w:r>
      <w:r w:rsidRPr="00B814A4">
        <w:rPr>
          <w:rFonts w:cstheme="minorHAnsi"/>
          <w:b/>
          <w:sz w:val="24"/>
          <w:szCs w:val="24"/>
        </w:rPr>
        <w:tab/>
        <w:t>opracowanie „historii życia” klienta</w:t>
      </w:r>
      <w:r w:rsidRPr="00B814A4">
        <w:rPr>
          <w:rFonts w:cstheme="minorHAnsi"/>
          <w:sz w:val="24"/>
          <w:szCs w:val="24"/>
        </w:rPr>
        <w:t xml:space="preserve"> – czyli wystandaryzowanego oraz dostosowanego do branży i typu firmy wysyłającej zapytanie, opisu typowego zachowania, który umożliwi badaczowi upodobnić się do autentycznego klienta danej usługi (tj. pracownika wykonującego rozeznanie cenowe usług szkoleniowych) oraz pozwoli w razie konieczności sprawnie odpowiadać na typowe i szczegółowe pytania badanego usługodawcy. Powinna być ona naturalna, łatwa do zapamiętania oraz dostosowana do danego klienta. </w:t>
      </w:r>
    </w:p>
    <w:p w14:paraId="6365F2D7" w14:textId="77777777" w:rsidR="00B841C5" w:rsidRPr="00B814A4" w:rsidRDefault="00B841C5" w:rsidP="00B814A4">
      <w:pPr>
        <w:pStyle w:val="Akapitzlist"/>
        <w:spacing w:line="276" w:lineRule="auto"/>
        <w:jc w:val="both"/>
        <w:rPr>
          <w:rFonts w:cstheme="minorHAnsi"/>
          <w:sz w:val="24"/>
          <w:szCs w:val="24"/>
        </w:rPr>
      </w:pPr>
      <w:r w:rsidRPr="00B814A4">
        <w:rPr>
          <w:rFonts w:cstheme="minorHAnsi"/>
          <w:b/>
          <w:sz w:val="24"/>
          <w:szCs w:val="24"/>
        </w:rPr>
        <w:t>e.</w:t>
      </w:r>
      <w:r w:rsidRPr="00B814A4">
        <w:rPr>
          <w:rFonts w:cstheme="minorHAnsi"/>
          <w:b/>
          <w:sz w:val="24"/>
          <w:szCs w:val="24"/>
        </w:rPr>
        <w:tab/>
        <w:t>opracowanie treści zapytań ofertowych</w:t>
      </w:r>
      <w:r w:rsidRPr="00B814A4">
        <w:rPr>
          <w:rFonts w:cstheme="minorHAnsi"/>
          <w:sz w:val="24"/>
          <w:szCs w:val="24"/>
        </w:rPr>
        <w:t xml:space="preserve"> – na bazie wylosowanych usług rozwojowych (por. lit. a), wykonawca opracuje wg wystandaryzowanego klucza treść zapytań ofertowych, jakie trafią do usługodawców (por. lit b). Wykonawca zapewni możliwie duży poziom standaryzacji zapytań, przy jednocześnie możliwie pełnym odwzorowaniu parametrów, jakie występują w oryginalnych ogłoszeniach w bazie BUR. W szczególności w zapytaniu wzięte zostaną pod uwagę następujące parametry – tematyka usługi, z ewentualnym uwzględnieniem poziomu jej zaawansowania, oczekiwania dot. trenera i jego kompetencji, miejsce szkolenia, długość trwania szkolenia, przybliżony termin, specyficzne warunki techniczne szkolenia, liczba </w:t>
      </w:r>
      <w:r w:rsidRPr="00B814A4">
        <w:rPr>
          <w:rFonts w:cstheme="minorHAnsi"/>
          <w:sz w:val="24"/>
          <w:szCs w:val="24"/>
        </w:rPr>
        <w:lastRenderedPageBreak/>
        <w:t xml:space="preserve">uczestników szkolenia oraz inne istotne elementy, kluczowe z punktu widzenia potencjalnej ceny szkolenia. </w:t>
      </w:r>
    </w:p>
    <w:p w14:paraId="59221C2A" w14:textId="77777777" w:rsidR="00B841C5" w:rsidRPr="00B814A4" w:rsidRDefault="00B841C5" w:rsidP="00B814A4">
      <w:pPr>
        <w:pStyle w:val="Akapitzlist"/>
        <w:spacing w:line="276" w:lineRule="auto"/>
        <w:jc w:val="both"/>
        <w:rPr>
          <w:rFonts w:cstheme="minorHAnsi"/>
          <w:sz w:val="24"/>
          <w:szCs w:val="24"/>
        </w:rPr>
      </w:pPr>
      <w:r w:rsidRPr="00B814A4">
        <w:rPr>
          <w:rFonts w:cstheme="minorHAnsi"/>
          <w:b/>
          <w:sz w:val="24"/>
          <w:szCs w:val="24"/>
        </w:rPr>
        <w:t>f.</w:t>
      </w:r>
      <w:r w:rsidRPr="00B814A4">
        <w:rPr>
          <w:rFonts w:cstheme="minorHAnsi"/>
          <w:b/>
          <w:sz w:val="24"/>
          <w:szCs w:val="24"/>
        </w:rPr>
        <w:tab/>
        <w:t>opracowanie wystandaryzowanego kwestionariusza z badania</w:t>
      </w:r>
      <w:r w:rsidRPr="00B814A4">
        <w:rPr>
          <w:rFonts w:cstheme="minorHAnsi"/>
          <w:sz w:val="24"/>
          <w:szCs w:val="24"/>
        </w:rPr>
        <w:t xml:space="preserve"> – wszystkie wyniki badania powinny być zapisywane w wystandaryzowanym kwestionariuszu, w tym w szczególności – informacja o łącznej cenie szkolenia przypadającej na uczestnika, cenie za godzinę szkolenia, badanej kategorii tematycznej, informacji o tym czy wycenę przygotował podmiot z bazy BUR, czy spoza niej oraz inne ustalone wspólnie z Zamawiającym na etapie opracowywania raportu metodologicznego (w tym w szczególności specyficzne dla danej kategorii cechy usługi mające istotny wpływ na jej cenę). </w:t>
      </w:r>
    </w:p>
    <w:p w14:paraId="0C9F4CFB" w14:textId="77777777" w:rsidR="00B841C5" w:rsidRPr="00B814A4" w:rsidRDefault="00B841C5" w:rsidP="00B814A4">
      <w:pPr>
        <w:pStyle w:val="Akapitzlist"/>
        <w:spacing w:line="276" w:lineRule="auto"/>
        <w:jc w:val="both"/>
        <w:rPr>
          <w:rFonts w:cstheme="minorHAnsi"/>
          <w:sz w:val="24"/>
          <w:szCs w:val="24"/>
        </w:rPr>
      </w:pPr>
      <w:r w:rsidRPr="00B814A4">
        <w:rPr>
          <w:rFonts w:cstheme="minorHAnsi"/>
          <w:b/>
          <w:sz w:val="24"/>
          <w:szCs w:val="24"/>
        </w:rPr>
        <w:t>g.</w:t>
      </w:r>
      <w:r w:rsidRPr="00B814A4">
        <w:rPr>
          <w:rFonts w:cstheme="minorHAnsi"/>
          <w:b/>
          <w:sz w:val="24"/>
          <w:szCs w:val="24"/>
        </w:rPr>
        <w:tab/>
        <w:t>dobór oraz przygotowanie klientów (badaczy) realizujących pomiar</w:t>
      </w:r>
      <w:r w:rsidRPr="00B814A4">
        <w:rPr>
          <w:rFonts w:cstheme="minorHAnsi"/>
          <w:sz w:val="24"/>
          <w:szCs w:val="24"/>
        </w:rPr>
        <w:t xml:space="preserve"> – Zamawiający zakłada, że za realizację badania MS odpowiadać będzie co najmniej kilkuosobowy zespół badaczy. Każdy z nich powinien posiadać doświadczenie w realizacji badań typu MS oraz być przygotowany do realizacji przedmiotowego badania, w tym pod kątem standaryzacji wszystkich zaplanowanych zadań.  </w:t>
      </w:r>
    </w:p>
    <w:p w14:paraId="5658E4DE" w14:textId="77777777" w:rsidR="00B841C5" w:rsidRPr="00B814A4" w:rsidRDefault="00B841C5" w:rsidP="00B814A4">
      <w:pPr>
        <w:pStyle w:val="Akapitzlist"/>
        <w:spacing w:line="276" w:lineRule="auto"/>
        <w:jc w:val="both"/>
        <w:rPr>
          <w:rFonts w:cstheme="minorHAnsi"/>
          <w:sz w:val="24"/>
          <w:szCs w:val="24"/>
        </w:rPr>
      </w:pPr>
      <w:r w:rsidRPr="00B814A4">
        <w:rPr>
          <w:rFonts w:cstheme="minorHAnsi"/>
          <w:b/>
          <w:sz w:val="24"/>
          <w:szCs w:val="24"/>
        </w:rPr>
        <w:t>h.</w:t>
      </w:r>
      <w:r w:rsidRPr="00B814A4">
        <w:rPr>
          <w:rFonts w:cstheme="minorHAnsi"/>
          <w:b/>
          <w:sz w:val="24"/>
          <w:szCs w:val="24"/>
        </w:rPr>
        <w:tab/>
        <w:t>realizacja pomiaru</w:t>
      </w:r>
      <w:r w:rsidRPr="00B814A4">
        <w:rPr>
          <w:rFonts w:cstheme="minorHAnsi"/>
          <w:sz w:val="24"/>
          <w:szCs w:val="24"/>
        </w:rPr>
        <w:t xml:space="preserve"> – pomiar zostanie uruchomiony po zaakceptowaniu wszystkich parametrów badania MS przez Zamawiającego. Badanie powinno być równomiernie rozłożone w czasie oraz powinno uwzględniać czas niezbędny na opracowanie wyceny przez poszczególnych usługodawców.  </w:t>
      </w:r>
    </w:p>
    <w:p w14:paraId="2B50EE85" w14:textId="77777777" w:rsidR="00B841C5" w:rsidRPr="00B814A4" w:rsidRDefault="00B841C5" w:rsidP="00B814A4">
      <w:pPr>
        <w:pStyle w:val="Akapitzlist"/>
        <w:spacing w:line="276" w:lineRule="auto"/>
        <w:jc w:val="both"/>
        <w:rPr>
          <w:rFonts w:cstheme="minorHAnsi"/>
          <w:sz w:val="24"/>
          <w:szCs w:val="24"/>
        </w:rPr>
      </w:pPr>
      <w:r w:rsidRPr="00B814A4">
        <w:rPr>
          <w:rFonts w:cstheme="minorHAnsi"/>
          <w:b/>
          <w:sz w:val="24"/>
          <w:szCs w:val="24"/>
        </w:rPr>
        <w:t>i.</w:t>
      </w:r>
      <w:r w:rsidRPr="00B814A4">
        <w:rPr>
          <w:rFonts w:cstheme="minorHAnsi"/>
          <w:b/>
          <w:sz w:val="24"/>
          <w:szCs w:val="24"/>
        </w:rPr>
        <w:tab/>
        <w:t>kontrola realizacji</w:t>
      </w:r>
      <w:r w:rsidRPr="00B814A4">
        <w:rPr>
          <w:rFonts w:cstheme="minorHAnsi"/>
          <w:sz w:val="24"/>
          <w:szCs w:val="24"/>
        </w:rPr>
        <w:t xml:space="preserve"> – obejmująca z jednej strony weryfikację autentyczności otrzymanych wycen od usługodawców, z drugiej strony mająca na względzie taką kontrolę procesu, która zapewni wszystkie standardy tego typu badań (por. standardy ESOMAR). </w:t>
      </w:r>
    </w:p>
    <w:p w14:paraId="0FC4AE4D" w14:textId="7D2E798B" w:rsidR="00B841C5" w:rsidRPr="00B814A4" w:rsidRDefault="00B841C5" w:rsidP="00B814A4">
      <w:pPr>
        <w:pStyle w:val="Akapitzlist"/>
        <w:spacing w:line="276" w:lineRule="auto"/>
        <w:jc w:val="both"/>
        <w:rPr>
          <w:rFonts w:cstheme="minorHAnsi"/>
          <w:sz w:val="24"/>
          <w:szCs w:val="24"/>
        </w:rPr>
      </w:pPr>
      <w:r w:rsidRPr="00B814A4">
        <w:rPr>
          <w:rFonts w:cstheme="minorHAnsi"/>
          <w:b/>
          <w:sz w:val="24"/>
          <w:szCs w:val="24"/>
        </w:rPr>
        <w:t>j.</w:t>
      </w:r>
      <w:r w:rsidRPr="00B814A4">
        <w:rPr>
          <w:rFonts w:cstheme="minorHAnsi"/>
          <w:b/>
          <w:sz w:val="24"/>
          <w:szCs w:val="24"/>
        </w:rPr>
        <w:tab/>
        <w:t>opracowanie wyników badania oraz sporządzenie raportu końcowego</w:t>
      </w:r>
      <w:r w:rsidRPr="00B814A4">
        <w:rPr>
          <w:rFonts w:cstheme="minorHAnsi"/>
          <w:sz w:val="24"/>
          <w:szCs w:val="24"/>
        </w:rPr>
        <w:t xml:space="preserve"> </w:t>
      </w:r>
    </w:p>
    <w:p w14:paraId="7AF9D1B6" w14:textId="77777777" w:rsidR="000C4D8A" w:rsidRPr="00B814A4" w:rsidRDefault="000C4D8A" w:rsidP="00B814A4">
      <w:pPr>
        <w:pStyle w:val="Akapitzlist"/>
        <w:spacing w:line="276" w:lineRule="auto"/>
        <w:jc w:val="both"/>
        <w:rPr>
          <w:rFonts w:cstheme="minorHAnsi"/>
          <w:sz w:val="24"/>
          <w:szCs w:val="24"/>
        </w:rPr>
      </w:pPr>
    </w:p>
    <w:p w14:paraId="3164B75B" w14:textId="6DDD30DA" w:rsidR="00376BF0" w:rsidRPr="00B814A4" w:rsidRDefault="00376BF0" w:rsidP="00B814A4">
      <w:pPr>
        <w:pStyle w:val="Akapitzlist"/>
        <w:numPr>
          <w:ilvl w:val="0"/>
          <w:numId w:val="2"/>
        </w:numPr>
        <w:spacing w:line="276" w:lineRule="auto"/>
        <w:jc w:val="both"/>
        <w:rPr>
          <w:rFonts w:cstheme="minorHAnsi"/>
          <w:sz w:val="24"/>
          <w:szCs w:val="24"/>
        </w:rPr>
      </w:pPr>
      <w:r w:rsidRPr="00B814A4">
        <w:rPr>
          <w:rFonts w:cstheme="minorHAnsi"/>
          <w:sz w:val="24"/>
          <w:szCs w:val="24"/>
        </w:rPr>
        <w:t xml:space="preserve">Ustalenia z badania, dotyczące zróżnicowania cen w BUR oraz ich konkurencyjności rynkowej zostaną pogłębione w ramach </w:t>
      </w:r>
      <w:r w:rsidRPr="00B814A4">
        <w:rPr>
          <w:rFonts w:cstheme="minorHAnsi"/>
          <w:b/>
          <w:sz w:val="24"/>
          <w:szCs w:val="24"/>
        </w:rPr>
        <w:t>badań jakościowych</w:t>
      </w:r>
      <w:r w:rsidRPr="00B814A4">
        <w:rPr>
          <w:rFonts w:cstheme="minorHAnsi"/>
          <w:sz w:val="24"/>
          <w:szCs w:val="24"/>
        </w:rPr>
        <w:t xml:space="preserve"> ukierunkowanych na wyjaśnienie zidentyfikowanych prawidłowości oraz mechanizmów. W tym celu Wykonawca przeprowadzi uzupełniające badania jakościowe, podczas których przeprowadzi: </w:t>
      </w:r>
    </w:p>
    <w:p w14:paraId="5093DF30" w14:textId="4F617053" w:rsidR="00F7420F" w:rsidRPr="00B814A4" w:rsidRDefault="00D12991" w:rsidP="00B814A4">
      <w:pPr>
        <w:pStyle w:val="Akapitzlist"/>
        <w:numPr>
          <w:ilvl w:val="0"/>
          <w:numId w:val="8"/>
        </w:numPr>
        <w:spacing w:line="276" w:lineRule="auto"/>
        <w:jc w:val="both"/>
        <w:rPr>
          <w:rFonts w:cstheme="minorHAnsi"/>
          <w:sz w:val="24"/>
          <w:szCs w:val="24"/>
        </w:rPr>
      </w:pPr>
      <w:r w:rsidRPr="00B814A4">
        <w:rPr>
          <w:rFonts w:cstheme="minorHAnsi"/>
          <w:sz w:val="24"/>
          <w:szCs w:val="24"/>
        </w:rPr>
        <w:t>minimum 2 wywiady pogłębione</w:t>
      </w:r>
      <w:r w:rsidR="00F7420F" w:rsidRPr="00B814A4">
        <w:rPr>
          <w:rFonts w:cstheme="minorHAnsi"/>
          <w:sz w:val="24"/>
          <w:szCs w:val="24"/>
        </w:rPr>
        <w:t xml:space="preserve"> IDI z ekspertami rynku usług rozwojowych/ szkoleniowych, mając</w:t>
      </w:r>
      <w:r w:rsidRPr="00B814A4">
        <w:rPr>
          <w:rFonts w:cstheme="minorHAnsi"/>
          <w:sz w:val="24"/>
          <w:szCs w:val="24"/>
        </w:rPr>
        <w:t>ymi</w:t>
      </w:r>
      <w:r w:rsidR="00F7420F" w:rsidRPr="00B814A4">
        <w:rPr>
          <w:rFonts w:cstheme="minorHAnsi"/>
          <w:sz w:val="24"/>
          <w:szCs w:val="24"/>
        </w:rPr>
        <w:t xml:space="preserve"> wiedzę na temat BUR oraz jego funkcjonowania,</w:t>
      </w:r>
    </w:p>
    <w:p w14:paraId="53E603EF" w14:textId="7CC58E0C" w:rsidR="00F7420F" w:rsidRPr="00B814A4" w:rsidRDefault="00D12991" w:rsidP="00B814A4">
      <w:pPr>
        <w:pStyle w:val="Akapitzlist"/>
        <w:numPr>
          <w:ilvl w:val="0"/>
          <w:numId w:val="8"/>
        </w:numPr>
        <w:spacing w:line="276" w:lineRule="auto"/>
        <w:jc w:val="both"/>
        <w:rPr>
          <w:rFonts w:cstheme="minorHAnsi"/>
          <w:sz w:val="24"/>
          <w:szCs w:val="24"/>
        </w:rPr>
      </w:pPr>
      <w:r w:rsidRPr="00B814A4">
        <w:rPr>
          <w:rFonts w:cstheme="minorHAnsi"/>
          <w:sz w:val="24"/>
          <w:szCs w:val="24"/>
        </w:rPr>
        <w:t>minimum 4 wywiady pogłębione</w:t>
      </w:r>
      <w:r w:rsidR="00F7420F" w:rsidRPr="00B814A4">
        <w:rPr>
          <w:rFonts w:cstheme="minorHAnsi"/>
          <w:sz w:val="24"/>
          <w:szCs w:val="24"/>
        </w:rPr>
        <w:t xml:space="preserve"> IDI z przedstawicielami </w:t>
      </w:r>
      <w:r w:rsidRPr="00B814A4">
        <w:rPr>
          <w:rFonts w:cstheme="minorHAnsi"/>
          <w:sz w:val="24"/>
          <w:szCs w:val="24"/>
        </w:rPr>
        <w:t>firm świadczących usługi rozwojowe</w:t>
      </w:r>
      <w:r w:rsidR="00F7420F" w:rsidRPr="00B814A4">
        <w:rPr>
          <w:rFonts w:cstheme="minorHAnsi"/>
          <w:sz w:val="24"/>
          <w:szCs w:val="24"/>
        </w:rPr>
        <w:t xml:space="preserve"> mających zarejestrowane swoje usługi w BUR,</w:t>
      </w:r>
    </w:p>
    <w:p w14:paraId="3A31DD50" w14:textId="41E76C87" w:rsidR="00F7420F" w:rsidRPr="00B814A4" w:rsidRDefault="00D12991" w:rsidP="00B814A4">
      <w:pPr>
        <w:pStyle w:val="Akapitzlist"/>
        <w:numPr>
          <w:ilvl w:val="0"/>
          <w:numId w:val="8"/>
        </w:numPr>
        <w:spacing w:line="276" w:lineRule="auto"/>
        <w:jc w:val="both"/>
        <w:rPr>
          <w:rFonts w:cstheme="minorHAnsi"/>
          <w:sz w:val="24"/>
          <w:szCs w:val="24"/>
        </w:rPr>
      </w:pPr>
      <w:r w:rsidRPr="00B814A4">
        <w:rPr>
          <w:rFonts w:cstheme="minorHAnsi"/>
          <w:sz w:val="24"/>
          <w:szCs w:val="24"/>
        </w:rPr>
        <w:t>minimum 6 wywiadów pogłębionych</w:t>
      </w:r>
      <w:r w:rsidR="00F7420F" w:rsidRPr="00B814A4">
        <w:rPr>
          <w:rFonts w:cstheme="minorHAnsi"/>
          <w:sz w:val="24"/>
          <w:szCs w:val="24"/>
        </w:rPr>
        <w:t xml:space="preserve"> IDI z prze</w:t>
      </w:r>
      <w:r w:rsidRPr="00B814A4">
        <w:rPr>
          <w:rFonts w:cstheme="minorHAnsi"/>
          <w:sz w:val="24"/>
          <w:szCs w:val="24"/>
        </w:rPr>
        <w:t>dstawicielami Instytucji Zarządzających Regionalnymi Programami Operacyjnymi zaangażowanymi</w:t>
      </w:r>
      <w:r w:rsidR="00F7420F" w:rsidRPr="00B814A4">
        <w:rPr>
          <w:rFonts w:cstheme="minorHAnsi"/>
          <w:sz w:val="24"/>
          <w:szCs w:val="24"/>
        </w:rPr>
        <w:t xml:space="preserve"> w proces dofinansowania usług rozwojowych dostępnych w BUR,</w:t>
      </w:r>
    </w:p>
    <w:p w14:paraId="260418B6" w14:textId="663B4EC8" w:rsidR="00F7420F" w:rsidRPr="00B814A4" w:rsidRDefault="00F7420F" w:rsidP="00B814A4">
      <w:pPr>
        <w:pStyle w:val="Akapitzlist"/>
        <w:numPr>
          <w:ilvl w:val="0"/>
          <w:numId w:val="8"/>
        </w:numPr>
        <w:spacing w:line="276" w:lineRule="auto"/>
        <w:jc w:val="both"/>
        <w:rPr>
          <w:rFonts w:cstheme="minorHAnsi"/>
          <w:sz w:val="24"/>
          <w:szCs w:val="24"/>
        </w:rPr>
      </w:pPr>
      <w:r w:rsidRPr="00B814A4">
        <w:rPr>
          <w:rFonts w:cstheme="minorHAnsi"/>
          <w:sz w:val="24"/>
          <w:szCs w:val="24"/>
        </w:rPr>
        <w:t>minimum 4 wywiady pogłębione IDI z przedstawicielami przedsiębiorstw, które skorzystały z usług rozwojowych, których ceny istotnie odbiegają od cen rynkowych.</w:t>
      </w:r>
    </w:p>
    <w:p w14:paraId="2626C27A" w14:textId="12739A57" w:rsidR="00376BF0" w:rsidRPr="00B814A4" w:rsidRDefault="00376BF0" w:rsidP="00B814A4">
      <w:pPr>
        <w:pStyle w:val="Akapitzlist"/>
        <w:spacing w:line="276" w:lineRule="auto"/>
        <w:jc w:val="both"/>
        <w:rPr>
          <w:rFonts w:cstheme="minorHAnsi"/>
          <w:sz w:val="24"/>
          <w:szCs w:val="24"/>
        </w:rPr>
      </w:pPr>
      <w:r w:rsidRPr="00B814A4">
        <w:rPr>
          <w:rFonts w:cstheme="minorHAnsi"/>
          <w:sz w:val="24"/>
          <w:szCs w:val="24"/>
        </w:rPr>
        <w:lastRenderedPageBreak/>
        <w:t>Dla każdej grupy wywiadów Wykonawca opracuje osobny scenariusz IDI</w:t>
      </w:r>
      <w:r w:rsidR="00651C72" w:rsidRPr="00B814A4">
        <w:rPr>
          <w:rFonts w:cstheme="minorHAnsi"/>
          <w:sz w:val="24"/>
          <w:szCs w:val="24"/>
        </w:rPr>
        <w:t xml:space="preserve">, </w:t>
      </w:r>
      <w:r w:rsidRPr="00B814A4">
        <w:rPr>
          <w:rFonts w:cstheme="minorHAnsi"/>
          <w:sz w:val="24"/>
          <w:szCs w:val="24"/>
        </w:rPr>
        <w:t>który będzie wymagał akceptacji Zamawiającego, podobnie jak eksperci rynku usług rozwojowych/ szkoleniowych.</w:t>
      </w:r>
    </w:p>
    <w:p w14:paraId="60DE1388" w14:textId="77777777" w:rsidR="000C4D8A" w:rsidRPr="00B814A4" w:rsidRDefault="000C4D8A" w:rsidP="00B814A4">
      <w:pPr>
        <w:pStyle w:val="Akapitzlist"/>
        <w:spacing w:line="276" w:lineRule="auto"/>
        <w:jc w:val="both"/>
        <w:rPr>
          <w:rFonts w:cstheme="minorHAnsi"/>
          <w:sz w:val="24"/>
          <w:szCs w:val="24"/>
        </w:rPr>
      </w:pPr>
    </w:p>
    <w:p w14:paraId="04B119A7" w14:textId="77777777" w:rsidR="000C4D8A" w:rsidRPr="00B814A4" w:rsidRDefault="006458F3" w:rsidP="00B814A4">
      <w:pPr>
        <w:pStyle w:val="Akapitzlist"/>
        <w:numPr>
          <w:ilvl w:val="0"/>
          <w:numId w:val="2"/>
        </w:numPr>
        <w:spacing w:line="276" w:lineRule="auto"/>
        <w:jc w:val="both"/>
        <w:rPr>
          <w:rFonts w:cstheme="minorHAnsi"/>
          <w:b/>
          <w:sz w:val="24"/>
          <w:szCs w:val="24"/>
        </w:rPr>
      </w:pPr>
      <w:r w:rsidRPr="00B814A4">
        <w:rPr>
          <w:rFonts w:cstheme="minorHAnsi"/>
          <w:b/>
          <w:sz w:val="24"/>
          <w:szCs w:val="24"/>
        </w:rPr>
        <w:t>Uogólnianie ustaleń z badania</w:t>
      </w:r>
      <w:r w:rsidR="000C4D8A" w:rsidRPr="00B814A4">
        <w:rPr>
          <w:rFonts w:cstheme="minorHAnsi"/>
          <w:b/>
          <w:sz w:val="24"/>
          <w:szCs w:val="24"/>
        </w:rPr>
        <w:t>.</w:t>
      </w:r>
    </w:p>
    <w:p w14:paraId="21E97A2A" w14:textId="487EBA1B" w:rsidR="001950F0" w:rsidRPr="00B814A4" w:rsidRDefault="000C4D8A" w:rsidP="00B814A4">
      <w:pPr>
        <w:pStyle w:val="Akapitzlist"/>
        <w:spacing w:line="276" w:lineRule="auto"/>
        <w:jc w:val="both"/>
        <w:rPr>
          <w:rFonts w:cstheme="minorHAnsi"/>
          <w:sz w:val="24"/>
          <w:szCs w:val="24"/>
        </w:rPr>
      </w:pPr>
      <w:r w:rsidRPr="00B814A4">
        <w:rPr>
          <w:rFonts w:cstheme="minorHAnsi"/>
          <w:sz w:val="24"/>
          <w:szCs w:val="24"/>
        </w:rPr>
        <w:t>Na podstawie wszystkich zebranych danych Wykonawca w ramach raportu końcowego zaproponuje rozwiązania systemowe, służące wzmocnieniu w ramach BUR możliwości bieżącej kontroli nad cenami świadczonych za jego pośrednictwem usług. W szczególności Wykonawca przedstawi dla każdej kategorii usług tematycznych typowe ceny usług – bazując na danych przeanalizowanych w ramach BUR oraz danych zebranych w toku badania MS. Jednocześnie Wykonawca przedstawi odstępstwa w poszczególnych typach i kategoriach usług, które mogą uzasadniać obecność wyższych od przewidywanych cen. Te odstępstwa powinny mieć charakter specyficzny dla danej kategorii usług oraz powinny być możliwie precyzyjne określone.</w:t>
      </w:r>
    </w:p>
    <w:p w14:paraId="40B683B6" w14:textId="614C6BF3" w:rsidR="007F6380" w:rsidRPr="00B814A4" w:rsidRDefault="007F6380" w:rsidP="00B814A4">
      <w:pPr>
        <w:pStyle w:val="Akapitzlist"/>
        <w:spacing w:line="276" w:lineRule="auto"/>
        <w:jc w:val="both"/>
        <w:rPr>
          <w:rFonts w:cstheme="minorHAnsi"/>
          <w:sz w:val="24"/>
          <w:szCs w:val="24"/>
        </w:rPr>
      </w:pPr>
      <w:r w:rsidRPr="00B814A4">
        <w:rPr>
          <w:rFonts w:cstheme="minorHAnsi"/>
          <w:sz w:val="24"/>
          <w:szCs w:val="24"/>
        </w:rPr>
        <w:t xml:space="preserve">Raport końcowy musi spełniać kryteria dostępności, z którymi można zapoznać się pod adresem </w:t>
      </w:r>
      <w:hyperlink r:id="rId10" w:history="1">
        <w:r w:rsidRPr="00B814A4">
          <w:rPr>
            <w:rStyle w:val="Hipercze"/>
            <w:rFonts w:cstheme="minorHAnsi"/>
            <w:sz w:val="24"/>
            <w:szCs w:val="24"/>
          </w:rPr>
          <w:t>https://www.funduszeeuropejskie.gov.pl/strony/o-funduszach/fundusze-europejskie-bez-barier/informacja-dla-projektodawcow/</w:t>
        </w:r>
      </w:hyperlink>
    </w:p>
    <w:p w14:paraId="586C51A6" w14:textId="77777777" w:rsidR="007F6380" w:rsidRPr="00B814A4" w:rsidRDefault="007F6380" w:rsidP="00B814A4">
      <w:pPr>
        <w:pStyle w:val="Akapitzlist"/>
        <w:spacing w:line="276" w:lineRule="auto"/>
        <w:jc w:val="both"/>
        <w:rPr>
          <w:rFonts w:cstheme="minorHAnsi"/>
          <w:sz w:val="24"/>
          <w:szCs w:val="24"/>
        </w:rPr>
      </w:pPr>
    </w:p>
    <w:p w14:paraId="45E5E2E7" w14:textId="6D13C6FF" w:rsidR="00B241D1" w:rsidRPr="00B814A4" w:rsidRDefault="0001220B" w:rsidP="00B814A4">
      <w:pPr>
        <w:spacing w:line="276" w:lineRule="auto"/>
        <w:jc w:val="both"/>
        <w:rPr>
          <w:rFonts w:cstheme="minorHAnsi"/>
          <w:sz w:val="24"/>
          <w:szCs w:val="24"/>
        </w:rPr>
      </w:pPr>
      <w:r w:rsidRPr="00B814A4">
        <w:rPr>
          <w:rFonts w:cstheme="minorHAnsi"/>
          <w:sz w:val="24"/>
          <w:szCs w:val="24"/>
        </w:rPr>
        <w:t>Realizację usługi zakłada się w 201</w:t>
      </w:r>
      <w:r w:rsidR="000942AB" w:rsidRPr="00B814A4">
        <w:rPr>
          <w:rFonts w:cstheme="minorHAnsi"/>
          <w:sz w:val="24"/>
          <w:szCs w:val="24"/>
        </w:rPr>
        <w:t>9</w:t>
      </w:r>
      <w:r w:rsidRPr="00B814A4">
        <w:rPr>
          <w:rFonts w:cstheme="minorHAnsi"/>
          <w:sz w:val="24"/>
          <w:szCs w:val="24"/>
        </w:rPr>
        <w:t xml:space="preserve"> roku</w:t>
      </w:r>
      <w:r w:rsidR="00B241D1" w:rsidRPr="00B814A4">
        <w:rPr>
          <w:rFonts w:cstheme="minorHAnsi"/>
          <w:sz w:val="24"/>
          <w:szCs w:val="24"/>
        </w:rPr>
        <w:t>.</w:t>
      </w:r>
    </w:p>
    <w:p w14:paraId="1F3EA085" w14:textId="56727AA9" w:rsidR="00B241D1" w:rsidRPr="00B814A4" w:rsidRDefault="00B241D1" w:rsidP="00B814A4">
      <w:pPr>
        <w:spacing w:line="276" w:lineRule="auto"/>
        <w:jc w:val="both"/>
        <w:rPr>
          <w:rFonts w:cstheme="minorHAnsi"/>
          <w:sz w:val="24"/>
          <w:szCs w:val="24"/>
        </w:rPr>
      </w:pPr>
      <w:r w:rsidRPr="00B814A4">
        <w:rPr>
          <w:rFonts w:cstheme="minorHAnsi"/>
          <w:sz w:val="24"/>
          <w:szCs w:val="24"/>
        </w:rPr>
        <w:t xml:space="preserve">Wszelkich </w:t>
      </w:r>
      <w:r w:rsidR="006C67A2" w:rsidRPr="00B814A4">
        <w:rPr>
          <w:rFonts w:cstheme="minorHAnsi"/>
          <w:sz w:val="24"/>
          <w:szCs w:val="24"/>
        </w:rPr>
        <w:t>dodatkowych informacji udziela</w:t>
      </w:r>
      <w:r w:rsidRPr="00B814A4">
        <w:rPr>
          <w:rFonts w:cstheme="minorHAnsi"/>
          <w:sz w:val="24"/>
          <w:szCs w:val="24"/>
        </w:rPr>
        <w:t>:</w:t>
      </w:r>
    </w:p>
    <w:p w14:paraId="17742403" w14:textId="6943BBC3" w:rsidR="006359A7" w:rsidRPr="00B814A4" w:rsidRDefault="006359A7" w:rsidP="00B814A4">
      <w:pPr>
        <w:spacing w:after="0" w:line="276" w:lineRule="auto"/>
        <w:jc w:val="both"/>
        <w:rPr>
          <w:rFonts w:cstheme="minorHAnsi"/>
          <w:sz w:val="24"/>
          <w:szCs w:val="24"/>
        </w:rPr>
      </w:pPr>
      <w:r w:rsidRPr="00B814A4">
        <w:rPr>
          <w:rFonts w:cstheme="minorHAnsi"/>
          <w:sz w:val="24"/>
          <w:szCs w:val="24"/>
        </w:rPr>
        <w:t xml:space="preserve">Aleksandra Berg-Koza, </w:t>
      </w:r>
      <w:hyperlink r:id="rId11" w:history="1">
        <w:r w:rsidRPr="00B814A4">
          <w:rPr>
            <w:rStyle w:val="Hipercze"/>
            <w:rFonts w:cstheme="minorHAnsi"/>
            <w:sz w:val="24"/>
            <w:szCs w:val="24"/>
          </w:rPr>
          <w:t>aleksandra_berg@parp.gov.pl</w:t>
        </w:r>
      </w:hyperlink>
      <w:r w:rsidRPr="00B814A4">
        <w:rPr>
          <w:rFonts w:cstheme="minorHAnsi"/>
          <w:sz w:val="24"/>
          <w:szCs w:val="24"/>
        </w:rPr>
        <w:t xml:space="preserve"> </w:t>
      </w:r>
    </w:p>
    <w:p w14:paraId="757EB4A7" w14:textId="6F75DB8A" w:rsidR="00B241D1" w:rsidRPr="00B814A4" w:rsidRDefault="006458F3" w:rsidP="00B814A4">
      <w:pPr>
        <w:spacing w:after="0" w:line="276" w:lineRule="auto"/>
        <w:jc w:val="both"/>
        <w:rPr>
          <w:rFonts w:cstheme="minorHAnsi"/>
          <w:sz w:val="24"/>
          <w:szCs w:val="24"/>
        </w:rPr>
      </w:pPr>
      <w:r w:rsidRPr="00B814A4">
        <w:rPr>
          <w:rFonts w:cstheme="minorHAnsi"/>
          <w:sz w:val="24"/>
          <w:szCs w:val="24"/>
        </w:rPr>
        <w:t>Aleksandra Karczewska</w:t>
      </w:r>
      <w:r w:rsidR="00B241D1" w:rsidRPr="00B814A4">
        <w:rPr>
          <w:rFonts w:cstheme="minorHAnsi"/>
          <w:sz w:val="24"/>
          <w:szCs w:val="24"/>
        </w:rPr>
        <w:t xml:space="preserve">, </w:t>
      </w:r>
      <w:r w:rsidRPr="00B814A4">
        <w:rPr>
          <w:rStyle w:val="Hipercze"/>
          <w:rFonts w:cstheme="minorHAnsi"/>
          <w:sz w:val="24"/>
          <w:szCs w:val="24"/>
        </w:rPr>
        <w:t>aleksandra_karczewska@parp.gov.pl</w:t>
      </w:r>
    </w:p>
    <w:p w14:paraId="321417D9" w14:textId="77777777" w:rsidR="00D05972" w:rsidRPr="00B814A4" w:rsidRDefault="00D05972" w:rsidP="00B814A4">
      <w:pPr>
        <w:spacing w:line="276" w:lineRule="auto"/>
        <w:jc w:val="both"/>
        <w:rPr>
          <w:rFonts w:cstheme="minorHAnsi"/>
          <w:sz w:val="24"/>
          <w:szCs w:val="24"/>
        </w:rPr>
      </w:pPr>
    </w:p>
    <w:p w14:paraId="47E3BA0C" w14:textId="548B4290" w:rsidR="00B241D1" w:rsidRPr="00B814A4" w:rsidRDefault="00B241D1" w:rsidP="00B814A4">
      <w:pPr>
        <w:spacing w:line="276" w:lineRule="auto"/>
        <w:jc w:val="both"/>
        <w:rPr>
          <w:rFonts w:cstheme="minorHAnsi"/>
          <w:b/>
          <w:sz w:val="24"/>
          <w:szCs w:val="24"/>
        </w:rPr>
      </w:pPr>
      <w:r w:rsidRPr="00B814A4">
        <w:rPr>
          <w:rFonts w:cstheme="minorHAnsi"/>
          <w:b/>
          <w:sz w:val="24"/>
          <w:szCs w:val="24"/>
        </w:rPr>
        <w:t xml:space="preserve">Prosimy o oszacowanie kosztów netto/brutto </w:t>
      </w:r>
      <w:r w:rsidR="00671A2D" w:rsidRPr="00B814A4">
        <w:rPr>
          <w:rFonts w:cstheme="minorHAnsi"/>
          <w:b/>
          <w:sz w:val="24"/>
          <w:szCs w:val="24"/>
        </w:rPr>
        <w:t>zgodnie z Załącznikiem 1 Formularz szacunkowej wyceny.</w:t>
      </w:r>
    </w:p>
    <w:p w14:paraId="522E0816" w14:textId="4E494FEE" w:rsidR="00B241D1" w:rsidRPr="00B814A4" w:rsidRDefault="00295F1D" w:rsidP="00B814A4">
      <w:pPr>
        <w:spacing w:line="276" w:lineRule="auto"/>
        <w:jc w:val="both"/>
        <w:rPr>
          <w:rFonts w:cstheme="minorHAnsi"/>
          <w:sz w:val="24"/>
          <w:szCs w:val="24"/>
        </w:rPr>
      </w:pPr>
      <w:r w:rsidRPr="00B814A4">
        <w:rPr>
          <w:rFonts w:cstheme="minorHAnsi"/>
          <w:sz w:val="24"/>
          <w:szCs w:val="24"/>
        </w:rPr>
        <w:t xml:space="preserve">Wycenę proszę przesłać </w:t>
      </w:r>
      <w:r w:rsidR="00B241D1" w:rsidRPr="00B814A4">
        <w:rPr>
          <w:rFonts w:cstheme="minorHAnsi"/>
          <w:sz w:val="24"/>
          <w:szCs w:val="24"/>
        </w:rPr>
        <w:t xml:space="preserve">na ww. adresy email w terminie do dnia </w:t>
      </w:r>
      <w:r w:rsidR="00E1190F" w:rsidRPr="00B814A4">
        <w:rPr>
          <w:rFonts w:cstheme="minorHAnsi"/>
          <w:sz w:val="24"/>
          <w:szCs w:val="24"/>
        </w:rPr>
        <w:t>25.04.2019</w:t>
      </w:r>
      <w:r w:rsidR="00B241D1" w:rsidRPr="00B814A4">
        <w:rPr>
          <w:rFonts w:cstheme="minorHAnsi"/>
          <w:sz w:val="24"/>
          <w:szCs w:val="24"/>
        </w:rPr>
        <w:t xml:space="preserve"> </w:t>
      </w:r>
      <w:r w:rsidR="00CB2BEB" w:rsidRPr="00B814A4">
        <w:rPr>
          <w:rFonts w:cstheme="minorHAnsi"/>
          <w:sz w:val="24"/>
          <w:szCs w:val="24"/>
        </w:rPr>
        <w:t xml:space="preserve">do godziny </w:t>
      </w:r>
      <w:r w:rsidR="00B814A4" w:rsidRPr="00B814A4">
        <w:rPr>
          <w:rFonts w:cstheme="minorHAnsi"/>
          <w:sz w:val="24"/>
          <w:szCs w:val="24"/>
        </w:rPr>
        <w:t>12</w:t>
      </w:r>
      <w:r w:rsidR="00FE3691" w:rsidRPr="00B814A4">
        <w:rPr>
          <w:rFonts w:cstheme="minorHAnsi"/>
          <w:sz w:val="24"/>
          <w:szCs w:val="24"/>
        </w:rPr>
        <w:t>.0</w:t>
      </w:r>
      <w:r w:rsidR="00CB2BEB" w:rsidRPr="00B814A4">
        <w:rPr>
          <w:rFonts w:cstheme="minorHAnsi"/>
          <w:sz w:val="24"/>
          <w:szCs w:val="24"/>
        </w:rPr>
        <w:t xml:space="preserve">0 na adres </w:t>
      </w:r>
      <w:hyperlink r:id="rId12" w:history="1">
        <w:r w:rsidR="00CB2BEB" w:rsidRPr="00B814A4">
          <w:rPr>
            <w:rStyle w:val="Hipercze"/>
            <w:rFonts w:cstheme="minorHAnsi"/>
            <w:sz w:val="24"/>
            <w:szCs w:val="24"/>
          </w:rPr>
          <w:t>aleksandra_karczewska@parp.gov.pl</w:t>
        </w:r>
      </w:hyperlink>
      <w:r w:rsidR="00CB2BEB" w:rsidRPr="00B814A4">
        <w:rPr>
          <w:rFonts w:cstheme="minorHAnsi"/>
          <w:sz w:val="24"/>
          <w:szCs w:val="24"/>
        </w:rPr>
        <w:t>,</w:t>
      </w:r>
      <w:r w:rsidR="00B241D1" w:rsidRPr="00B814A4">
        <w:rPr>
          <w:rFonts w:cstheme="minorHAnsi"/>
          <w:sz w:val="24"/>
          <w:szCs w:val="24"/>
        </w:rPr>
        <w:t xml:space="preserve"> wpisując w temacie wiadomości: „</w:t>
      </w:r>
      <w:r w:rsidR="00CB2BEB" w:rsidRPr="00B814A4">
        <w:rPr>
          <w:rFonts w:cstheme="minorHAnsi"/>
          <w:sz w:val="24"/>
          <w:szCs w:val="24"/>
        </w:rPr>
        <w:t>Badanie cen rynkowych usług rozwojowych</w:t>
      </w:r>
      <w:r w:rsidR="00B241D1" w:rsidRPr="00B814A4">
        <w:rPr>
          <w:rFonts w:cstheme="minorHAnsi"/>
          <w:sz w:val="24"/>
          <w:szCs w:val="24"/>
        </w:rPr>
        <w:t xml:space="preserve"> – wycena”.</w:t>
      </w:r>
    </w:p>
    <w:p w14:paraId="6BD65980" w14:textId="2D0FBEC3" w:rsidR="00671A2D" w:rsidRPr="00B814A4" w:rsidRDefault="00B241D1" w:rsidP="00B814A4">
      <w:pPr>
        <w:spacing w:line="276" w:lineRule="auto"/>
        <w:jc w:val="both"/>
        <w:rPr>
          <w:rFonts w:cstheme="minorHAnsi"/>
          <w:sz w:val="24"/>
          <w:szCs w:val="24"/>
        </w:rPr>
      </w:pPr>
      <w:r w:rsidRPr="00B814A4">
        <w:rPr>
          <w:rFonts w:cstheme="minorHAnsi"/>
          <w:sz w:val="24"/>
          <w:szCs w:val="24"/>
        </w:rPr>
        <w:t xml:space="preserve">Przedstawione zapytanie nie stanowi oferty w myśl art. </w:t>
      </w:r>
      <w:r w:rsidR="00D05972" w:rsidRPr="00B814A4">
        <w:rPr>
          <w:rFonts w:cstheme="minorHAnsi"/>
          <w:sz w:val="24"/>
          <w:szCs w:val="24"/>
        </w:rPr>
        <w:t>66 Kodeksu Cywilnego, jak również nie jest ogłoszeniem w rozumieniu ustawy Prawo zamówień publicznych.</w:t>
      </w:r>
    </w:p>
    <w:sectPr w:rsidR="00671A2D" w:rsidRPr="00B814A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858CF7" w14:textId="77777777" w:rsidR="001E66B2" w:rsidRDefault="001E66B2" w:rsidP="00F65EF7">
      <w:pPr>
        <w:spacing w:after="0" w:line="240" w:lineRule="auto"/>
      </w:pPr>
      <w:r>
        <w:separator/>
      </w:r>
    </w:p>
  </w:endnote>
  <w:endnote w:type="continuationSeparator" w:id="0">
    <w:p w14:paraId="3D7E0E1B" w14:textId="77777777" w:rsidR="001E66B2" w:rsidRDefault="001E66B2" w:rsidP="00F65EF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95A06B9" w14:textId="77777777" w:rsidR="001E66B2" w:rsidRDefault="001E66B2" w:rsidP="00F65EF7">
      <w:pPr>
        <w:spacing w:after="0" w:line="240" w:lineRule="auto"/>
      </w:pPr>
      <w:r>
        <w:separator/>
      </w:r>
    </w:p>
  </w:footnote>
  <w:footnote w:type="continuationSeparator" w:id="0">
    <w:p w14:paraId="38F6C172" w14:textId="77777777" w:rsidR="001E66B2" w:rsidRDefault="001E66B2" w:rsidP="00F65EF7">
      <w:pPr>
        <w:spacing w:after="0" w:line="240" w:lineRule="auto"/>
      </w:pPr>
      <w:r>
        <w:continuationSeparator/>
      </w:r>
    </w:p>
  </w:footnote>
  <w:footnote w:id="1">
    <w:p w14:paraId="79F1BDE0" w14:textId="77777777" w:rsidR="00AA7506" w:rsidRPr="00B814A4" w:rsidRDefault="00AA7506" w:rsidP="00AA7506">
      <w:pPr>
        <w:pStyle w:val="Tekstprzypisudolnego"/>
        <w:rPr>
          <w:rFonts w:cstheme="minorHAnsi"/>
        </w:rPr>
      </w:pPr>
      <w:r w:rsidRPr="00B814A4">
        <w:rPr>
          <w:rStyle w:val="Odwoanieprzypisudolnego"/>
          <w:rFonts w:cstheme="minorHAnsi"/>
        </w:rPr>
        <w:footnoteRef/>
      </w:r>
      <w:r w:rsidRPr="00B814A4">
        <w:rPr>
          <w:rFonts w:cstheme="minorHAnsi"/>
        </w:rPr>
        <w:t xml:space="preserve"> Dla przykładu aktualnie w kategorii szkoleń „Informatyka i telekomunikacja” znajdują się szkolenia z obsługi aplikacji MS Excel, które z uwagi na ich powszechność oraz dużą jednorodność tematyczną, mogą stanowić osobną kategorię lub pod kategorię usług szkoleniowych. </w:t>
      </w:r>
    </w:p>
  </w:footnote>
  <w:footnote w:id="2">
    <w:p w14:paraId="3949611A" w14:textId="03024228" w:rsidR="00B841C5" w:rsidRPr="00B814A4" w:rsidRDefault="00B841C5" w:rsidP="00B841C5">
      <w:pPr>
        <w:pStyle w:val="Tekstprzypisudolnego"/>
        <w:rPr>
          <w:rFonts w:cstheme="minorHAnsi"/>
        </w:rPr>
      </w:pPr>
      <w:r w:rsidRPr="00B814A4">
        <w:rPr>
          <w:rStyle w:val="Odwoanieprzypisudolnego"/>
          <w:rFonts w:cstheme="minorHAnsi"/>
        </w:rPr>
        <w:footnoteRef/>
      </w:r>
      <w:r w:rsidRPr="00B814A4">
        <w:rPr>
          <w:rFonts w:cstheme="minorHAnsi"/>
        </w:rPr>
        <w:t xml:space="preserve"> </w:t>
      </w:r>
      <w:hyperlink r:id="rId1" w:history="1">
        <w:r w:rsidRPr="00B814A4">
          <w:rPr>
            <w:rStyle w:val="Hipercze"/>
            <w:rFonts w:cstheme="minorHAnsi"/>
          </w:rPr>
          <w:t>https://www.esomar.org/uploads/public/knowledge-and-standards/codes-and-guidelines/ESOMAR_Codes-and-Guidelines_MysteryShopping.pdf</w:t>
        </w:r>
      </w:hyperlink>
    </w:p>
  </w:footnote>
  <w:footnote w:id="3">
    <w:p w14:paraId="768079F1" w14:textId="12F408C7" w:rsidR="004707D5" w:rsidRPr="00B814A4" w:rsidRDefault="004707D5" w:rsidP="004707D5">
      <w:pPr>
        <w:pStyle w:val="Tekstprzypisudolnego"/>
        <w:rPr>
          <w:rFonts w:cstheme="minorHAnsi"/>
        </w:rPr>
      </w:pPr>
      <w:r w:rsidRPr="00B814A4">
        <w:rPr>
          <w:rStyle w:val="Odwoanieprzypisudolnego"/>
          <w:rFonts w:cstheme="minorHAnsi"/>
        </w:rPr>
        <w:footnoteRef/>
      </w:r>
      <w:r w:rsidRPr="00B814A4">
        <w:rPr>
          <w:rFonts w:cstheme="minorHAnsi"/>
        </w:rPr>
        <w:t xml:space="preserve"> Gdyby zadanie to było niemożliwe do wykonania, z uwagi na brak wystarczającej liczby firm spoza BUR, które świadczą porównywalne usługi rozwojowe, Zamawiający dopuszcza zmianę tych proporcji. Tego typu modyfikacja musi być poparta faktami oraz wymaga uprzedniej akceptacji ze strony Zamawiającego.</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3945E7"/>
    <w:multiLevelType w:val="hybridMultilevel"/>
    <w:tmpl w:val="C57A71D8"/>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1" w15:restartNumberingAfterBreak="0">
    <w:nsid w:val="23B045FE"/>
    <w:multiLevelType w:val="hybridMultilevel"/>
    <w:tmpl w:val="2302899A"/>
    <w:lvl w:ilvl="0" w:tplc="EB56EE78">
      <w:start w:val="1"/>
      <w:numFmt w:val="lowerLetter"/>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 w15:restartNumberingAfterBreak="0">
    <w:nsid w:val="38F25C1D"/>
    <w:multiLevelType w:val="hybridMultilevel"/>
    <w:tmpl w:val="20026392"/>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39CA476E"/>
    <w:multiLevelType w:val="hybridMultilevel"/>
    <w:tmpl w:val="314A3AC8"/>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3CBA7CF7"/>
    <w:multiLevelType w:val="hybridMultilevel"/>
    <w:tmpl w:val="24703CA8"/>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42B974B1"/>
    <w:multiLevelType w:val="hybridMultilevel"/>
    <w:tmpl w:val="0C765DD4"/>
    <w:lvl w:ilvl="0" w:tplc="66A8D244">
      <w:start w:val="1"/>
      <w:numFmt w:val="lowerLetter"/>
      <w:lvlText w:val="%1."/>
      <w:lvlJc w:val="left"/>
      <w:pPr>
        <w:ind w:left="1080" w:hanging="360"/>
      </w:pPr>
      <w:rPr>
        <w:rFonts w:hint="default"/>
      </w:rPr>
    </w:lvl>
    <w:lvl w:ilvl="1" w:tplc="04150019">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6" w15:restartNumberingAfterBreak="0">
    <w:nsid w:val="4A5A2A2E"/>
    <w:multiLevelType w:val="hybridMultilevel"/>
    <w:tmpl w:val="E5FCA02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66994533"/>
    <w:multiLevelType w:val="hybridMultilevel"/>
    <w:tmpl w:val="F61AC53E"/>
    <w:lvl w:ilvl="0" w:tplc="04150001">
      <w:start w:val="1"/>
      <w:numFmt w:val="bullet"/>
      <w:lvlText w:val=""/>
      <w:lvlJc w:val="left"/>
      <w:pPr>
        <w:ind w:left="1440" w:hanging="360"/>
      </w:pPr>
      <w:rPr>
        <w:rFonts w:ascii="Symbol" w:hAnsi="Symbol" w:hint="default"/>
      </w:rPr>
    </w:lvl>
    <w:lvl w:ilvl="1" w:tplc="04150003" w:tentative="1">
      <w:start w:val="1"/>
      <w:numFmt w:val="bullet"/>
      <w:lvlText w:val="o"/>
      <w:lvlJc w:val="left"/>
      <w:pPr>
        <w:ind w:left="2160" w:hanging="360"/>
      </w:pPr>
      <w:rPr>
        <w:rFonts w:ascii="Courier New" w:hAnsi="Courier New" w:cs="Courier New" w:hint="default"/>
      </w:rPr>
    </w:lvl>
    <w:lvl w:ilvl="2" w:tplc="04150005" w:tentative="1">
      <w:start w:val="1"/>
      <w:numFmt w:val="bullet"/>
      <w:lvlText w:val=""/>
      <w:lvlJc w:val="left"/>
      <w:pPr>
        <w:ind w:left="2880" w:hanging="360"/>
      </w:pPr>
      <w:rPr>
        <w:rFonts w:ascii="Wingdings" w:hAnsi="Wingdings" w:hint="default"/>
      </w:rPr>
    </w:lvl>
    <w:lvl w:ilvl="3" w:tplc="04150001" w:tentative="1">
      <w:start w:val="1"/>
      <w:numFmt w:val="bullet"/>
      <w:lvlText w:val=""/>
      <w:lvlJc w:val="left"/>
      <w:pPr>
        <w:ind w:left="3600" w:hanging="360"/>
      </w:pPr>
      <w:rPr>
        <w:rFonts w:ascii="Symbol" w:hAnsi="Symbol" w:hint="default"/>
      </w:rPr>
    </w:lvl>
    <w:lvl w:ilvl="4" w:tplc="04150003" w:tentative="1">
      <w:start w:val="1"/>
      <w:numFmt w:val="bullet"/>
      <w:lvlText w:val="o"/>
      <w:lvlJc w:val="left"/>
      <w:pPr>
        <w:ind w:left="4320" w:hanging="360"/>
      </w:pPr>
      <w:rPr>
        <w:rFonts w:ascii="Courier New" w:hAnsi="Courier New" w:cs="Courier New" w:hint="default"/>
      </w:rPr>
    </w:lvl>
    <w:lvl w:ilvl="5" w:tplc="04150005" w:tentative="1">
      <w:start w:val="1"/>
      <w:numFmt w:val="bullet"/>
      <w:lvlText w:val=""/>
      <w:lvlJc w:val="left"/>
      <w:pPr>
        <w:ind w:left="5040" w:hanging="360"/>
      </w:pPr>
      <w:rPr>
        <w:rFonts w:ascii="Wingdings" w:hAnsi="Wingdings" w:hint="default"/>
      </w:rPr>
    </w:lvl>
    <w:lvl w:ilvl="6" w:tplc="04150001" w:tentative="1">
      <w:start w:val="1"/>
      <w:numFmt w:val="bullet"/>
      <w:lvlText w:val=""/>
      <w:lvlJc w:val="left"/>
      <w:pPr>
        <w:ind w:left="5760" w:hanging="360"/>
      </w:pPr>
      <w:rPr>
        <w:rFonts w:ascii="Symbol" w:hAnsi="Symbol" w:hint="default"/>
      </w:rPr>
    </w:lvl>
    <w:lvl w:ilvl="7" w:tplc="04150003" w:tentative="1">
      <w:start w:val="1"/>
      <w:numFmt w:val="bullet"/>
      <w:lvlText w:val="o"/>
      <w:lvlJc w:val="left"/>
      <w:pPr>
        <w:ind w:left="6480" w:hanging="360"/>
      </w:pPr>
      <w:rPr>
        <w:rFonts w:ascii="Courier New" w:hAnsi="Courier New" w:cs="Courier New" w:hint="default"/>
      </w:rPr>
    </w:lvl>
    <w:lvl w:ilvl="8" w:tplc="04150005" w:tentative="1">
      <w:start w:val="1"/>
      <w:numFmt w:val="bullet"/>
      <w:lvlText w:val=""/>
      <w:lvlJc w:val="left"/>
      <w:pPr>
        <w:ind w:left="7200" w:hanging="360"/>
      </w:pPr>
      <w:rPr>
        <w:rFonts w:ascii="Wingdings" w:hAnsi="Wingdings" w:hint="default"/>
      </w:rPr>
    </w:lvl>
  </w:abstractNum>
  <w:abstractNum w:abstractNumId="8" w15:restartNumberingAfterBreak="0">
    <w:nsid w:val="722265E3"/>
    <w:multiLevelType w:val="hybridMultilevel"/>
    <w:tmpl w:val="F2D6B97A"/>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8"/>
  </w:num>
  <w:num w:numId="2">
    <w:abstractNumId w:val="3"/>
  </w:num>
  <w:num w:numId="3">
    <w:abstractNumId w:val="5"/>
  </w:num>
  <w:num w:numId="4">
    <w:abstractNumId w:val="1"/>
  </w:num>
  <w:num w:numId="5">
    <w:abstractNumId w:val="7"/>
  </w:num>
  <w:num w:numId="6">
    <w:abstractNumId w:val="6"/>
  </w:num>
  <w:num w:numId="7">
    <w:abstractNumId w:val="2"/>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87A0C"/>
    <w:rsid w:val="0001220B"/>
    <w:rsid w:val="00021AFA"/>
    <w:rsid w:val="00026AD4"/>
    <w:rsid w:val="00035468"/>
    <w:rsid w:val="00040F39"/>
    <w:rsid w:val="000942AB"/>
    <w:rsid w:val="000C4D8A"/>
    <w:rsid w:val="000F2FFA"/>
    <w:rsid w:val="00107FA6"/>
    <w:rsid w:val="001141AC"/>
    <w:rsid w:val="00133697"/>
    <w:rsid w:val="00135661"/>
    <w:rsid w:val="001540BC"/>
    <w:rsid w:val="00193BB3"/>
    <w:rsid w:val="001950F0"/>
    <w:rsid w:val="001C131C"/>
    <w:rsid w:val="001E0641"/>
    <w:rsid w:val="001E66B2"/>
    <w:rsid w:val="00211E82"/>
    <w:rsid w:val="00220D1F"/>
    <w:rsid w:val="00230D58"/>
    <w:rsid w:val="002328F8"/>
    <w:rsid w:val="0026653E"/>
    <w:rsid w:val="00272E5B"/>
    <w:rsid w:val="00295F1D"/>
    <w:rsid w:val="002C0186"/>
    <w:rsid w:val="002F62F0"/>
    <w:rsid w:val="0031309C"/>
    <w:rsid w:val="00330E90"/>
    <w:rsid w:val="0034007B"/>
    <w:rsid w:val="00376BF0"/>
    <w:rsid w:val="00390A20"/>
    <w:rsid w:val="003B425D"/>
    <w:rsid w:val="003F4E4D"/>
    <w:rsid w:val="00400C68"/>
    <w:rsid w:val="00405BCA"/>
    <w:rsid w:val="0042109A"/>
    <w:rsid w:val="004707D5"/>
    <w:rsid w:val="004A7E64"/>
    <w:rsid w:val="004C6759"/>
    <w:rsid w:val="005134E5"/>
    <w:rsid w:val="00522BE5"/>
    <w:rsid w:val="0058714D"/>
    <w:rsid w:val="00592CAA"/>
    <w:rsid w:val="005B0B35"/>
    <w:rsid w:val="005C1545"/>
    <w:rsid w:val="005F452E"/>
    <w:rsid w:val="006359A7"/>
    <w:rsid w:val="006458F3"/>
    <w:rsid w:val="00651C72"/>
    <w:rsid w:val="00671A2D"/>
    <w:rsid w:val="006A5D77"/>
    <w:rsid w:val="006C67A2"/>
    <w:rsid w:val="006D2798"/>
    <w:rsid w:val="00710654"/>
    <w:rsid w:val="00717C6E"/>
    <w:rsid w:val="00784C24"/>
    <w:rsid w:val="00787148"/>
    <w:rsid w:val="007C1CA2"/>
    <w:rsid w:val="007F6380"/>
    <w:rsid w:val="00814F38"/>
    <w:rsid w:val="00821314"/>
    <w:rsid w:val="00843339"/>
    <w:rsid w:val="00887A0C"/>
    <w:rsid w:val="008B01EB"/>
    <w:rsid w:val="008F2ACA"/>
    <w:rsid w:val="009024D7"/>
    <w:rsid w:val="00950570"/>
    <w:rsid w:val="00A43B9F"/>
    <w:rsid w:val="00A7176D"/>
    <w:rsid w:val="00A77C3B"/>
    <w:rsid w:val="00A96C2F"/>
    <w:rsid w:val="00AA7506"/>
    <w:rsid w:val="00AD03F9"/>
    <w:rsid w:val="00B241D1"/>
    <w:rsid w:val="00B37666"/>
    <w:rsid w:val="00B5546A"/>
    <w:rsid w:val="00B814A4"/>
    <w:rsid w:val="00B841C5"/>
    <w:rsid w:val="00C024DF"/>
    <w:rsid w:val="00C17D96"/>
    <w:rsid w:val="00C23504"/>
    <w:rsid w:val="00C86312"/>
    <w:rsid w:val="00C86727"/>
    <w:rsid w:val="00CB2BEB"/>
    <w:rsid w:val="00CF18AD"/>
    <w:rsid w:val="00D05972"/>
    <w:rsid w:val="00D12991"/>
    <w:rsid w:val="00DD3CCE"/>
    <w:rsid w:val="00E012DF"/>
    <w:rsid w:val="00E1190F"/>
    <w:rsid w:val="00E60A1A"/>
    <w:rsid w:val="00F65741"/>
    <w:rsid w:val="00F65EF7"/>
    <w:rsid w:val="00F7420F"/>
    <w:rsid w:val="00F850E3"/>
    <w:rsid w:val="00F9226D"/>
    <w:rsid w:val="00FC596C"/>
    <w:rsid w:val="00FC5B60"/>
    <w:rsid w:val="00FD6175"/>
    <w:rsid w:val="00FE3691"/>
    <w:rsid w:val="00FF34C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EE8B74"/>
  <w15:chartTrackingRefBased/>
  <w15:docId w15:val="{98E41F3B-47BE-4C36-BC17-5315E068D1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aliases w:val="A_wyliczenie,K-P_odwolanie,Akapit z listą5,maz_wyliczenie,opis dzialania,Akapit z listą 1,Table of contents numbered,L1,Numerowanie,List Paragraph"/>
    <w:basedOn w:val="Normalny"/>
    <w:link w:val="AkapitzlistZnak"/>
    <w:uiPriority w:val="34"/>
    <w:qFormat/>
    <w:rsid w:val="0034007B"/>
    <w:pPr>
      <w:ind w:left="720"/>
      <w:contextualSpacing/>
    </w:pPr>
  </w:style>
  <w:style w:type="character" w:styleId="Hipercze">
    <w:name w:val="Hyperlink"/>
    <w:basedOn w:val="Domylnaczcionkaakapitu"/>
    <w:uiPriority w:val="99"/>
    <w:unhideWhenUsed/>
    <w:rsid w:val="00B241D1"/>
    <w:rPr>
      <w:color w:val="0563C1" w:themeColor="hyperlink"/>
      <w:u w:val="single"/>
    </w:rPr>
  </w:style>
  <w:style w:type="character" w:styleId="Pogrubienie">
    <w:name w:val="Strong"/>
    <w:basedOn w:val="Domylnaczcionkaakapitu"/>
    <w:uiPriority w:val="22"/>
    <w:qFormat/>
    <w:rsid w:val="00B241D1"/>
    <w:rPr>
      <w:b/>
      <w:bCs/>
    </w:rPr>
  </w:style>
  <w:style w:type="paragraph" w:styleId="NormalnyWeb">
    <w:name w:val="Normal (Web)"/>
    <w:basedOn w:val="Normalny"/>
    <w:uiPriority w:val="99"/>
    <w:semiHidden/>
    <w:unhideWhenUsed/>
    <w:rsid w:val="00B241D1"/>
    <w:pPr>
      <w:spacing w:after="135" w:line="240" w:lineRule="auto"/>
    </w:pPr>
    <w:rPr>
      <w:rFonts w:ascii="Times New Roman" w:eastAsia="Times New Roman" w:hAnsi="Times New Roman" w:cs="Times New Roman"/>
      <w:sz w:val="24"/>
      <w:szCs w:val="24"/>
      <w:lang w:eastAsia="pl-PL"/>
    </w:rPr>
  </w:style>
  <w:style w:type="character" w:styleId="UyteHipercze">
    <w:name w:val="FollowedHyperlink"/>
    <w:basedOn w:val="Domylnaczcionkaakapitu"/>
    <w:uiPriority w:val="99"/>
    <w:semiHidden/>
    <w:unhideWhenUsed/>
    <w:rsid w:val="00AD03F9"/>
    <w:rPr>
      <w:color w:val="954F72" w:themeColor="followedHyperlink"/>
      <w:u w:val="single"/>
    </w:rPr>
  </w:style>
  <w:style w:type="character" w:styleId="Odwoaniedokomentarza">
    <w:name w:val="annotation reference"/>
    <w:basedOn w:val="Domylnaczcionkaakapitu"/>
    <w:uiPriority w:val="99"/>
    <w:semiHidden/>
    <w:unhideWhenUsed/>
    <w:rsid w:val="00AD03F9"/>
    <w:rPr>
      <w:sz w:val="16"/>
      <w:szCs w:val="16"/>
    </w:rPr>
  </w:style>
  <w:style w:type="paragraph" w:styleId="Tekstkomentarza">
    <w:name w:val="annotation text"/>
    <w:basedOn w:val="Normalny"/>
    <w:link w:val="TekstkomentarzaZnak"/>
    <w:uiPriority w:val="99"/>
    <w:semiHidden/>
    <w:unhideWhenUsed/>
    <w:rsid w:val="00AD03F9"/>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AD03F9"/>
    <w:rPr>
      <w:sz w:val="20"/>
      <w:szCs w:val="20"/>
    </w:rPr>
  </w:style>
  <w:style w:type="paragraph" w:styleId="Tematkomentarza">
    <w:name w:val="annotation subject"/>
    <w:basedOn w:val="Tekstkomentarza"/>
    <w:next w:val="Tekstkomentarza"/>
    <w:link w:val="TematkomentarzaZnak"/>
    <w:uiPriority w:val="99"/>
    <w:semiHidden/>
    <w:unhideWhenUsed/>
    <w:rsid w:val="00AD03F9"/>
    <w:rPr>
      <w:b/>
      <w:bCs/>
    </w:rPr>
  </w:style>
  <w:style w:type="character" w:customStyle="1" w:styleId="TematkomentarzaZnak">
    <w:name w:val="Temat komentarza Znak"/>
    <w:basedOn w:val="TekstkomentarzaZnak"/>
    <w:link w:val="Tematkomentarza"/>
    <w:uiPriority w:val="99"/>
    <w:semiHidden/>
    <w:rsid w:val="00AD03F9"/>
    <w:rPr>
      <w:b/>
      <w:bCs/>
      <w:sz w:val="20"/>
      <w:szCs w:val="20"/>
    </w:rPr>
  </w:style>
  <w:style w:type="paragraph" w:styleId="Poprawka">
    <w:name w:val="Revision"/>
    <w:hidden/>
    <w:uiPriority w:val="99"/>
    <w:semiHidden/>
    <w:rsid w:val="00AD03F9"/>
    <w:pPr>
      <w:spacing w:after="0" w:line="240" w:lineRule="auto"/>
    </w:pPr>
  </w:style>
  <w:style w:type="paragraph" w:styleId="Tekstdymka">
    <w:name w:val="Balloon Text"/>
    <w:basedOn w:val="Normalny"/>
    <w:link w:val="TekstdymkaZnak"/>
    <w:uiPriority w:val="99"/>
    <w:semiHidden/>
    <w:unhideWhenUsed/>
    <w:rsid w:val="00AD03F9"/>
    <w:pPr>
      <w:spacing w:after="0" w:line="240" w:lineRule="auto"/>
    </w:pPr>
    <w:rPr>
      <w:rFonts w:ascii="Segoe UI" w:hAnsi="Segoe UI" w:cs="Segoe UI"/>
      <w:sz w:val="18"/>
      <w:szCs w:val="18"/>
    </w:rPr>
  </w:style>
  <w:style w:type="character" w:customStyle="1" w:styleId="TekstdymkaZnak">
    <w:name w:val="Tekst dymka Znak"/>
    <w:basedOn w:val="Domylnaczcionkaakapitu"/>
    <w:link w:val="Tekstdymka"/>
    <w:uiPriority w:val="99"/>
    <w:semiHidden/>
    <w:rsid w:val="00AD03F9"/>
    <w:rPr>
      <w:rFonts w:ascii="Segoe UI" w:hAnsi="Segoe UI" w:cs="Segoe UI"/>
      <w:sz w:val="18"/>
      <w:szCs w:val="18"/>
    </w:rPr>
  </w:style>
  <w:style w:type="paragraph" w:styleId="Nagwek">
    <w:name w:val="header"/>
    <w:basedOn w:val="Normalny"/>
    <w:link w:val="NagwekZnak"/>
    <w:uiPriority w:val="99"/>
    <w:unhideWhenUsed/>
    <w:rsid w:val="00F65EF7"/>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F65EF7"/>
  </w:style>
  <w:style w:type="paragraph" w:styleId="Stopka">
    <w:name w:val="footer"/>
    <w:basedOn w:val="Normalny"/>
    <w:link w:val="StopkaZnak"/>
    <w:uiPriority w:val="99"/>
    <w:unhideWhenUsed/>
    <w:rsid w:val="00F65EF7"/>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F65EF7"/>
  </w:style>
  <w:style w:type="character" w:customStyle="1" w:styleId="AkapitzlistZnak">
    <w:name w:val="Akapit z listą Znak"/>
    <w:aliases w:val="A_wyliczenie Znak,K-P_odwolanie Znak,Akapit z listą5 Znak,maz_wyliczenie Znak,opis dzialania Znak,Akapit z listą 1 Znak,Table of contents numbered Znak,L1 Znak,Numerowanie Znak,List Paragraph Znak"/>
    <w:link w:val="Akapitzlist"/>
    <w:uiPriority w:val="34"/>
    <w:locked/>
    <w:rsid w:val="006458F3"/>
  </w:style>
  <w:style w:type="table" w:styleId="Tabela-Siatka">
    <w:name w:val="Table Grid"/>
    <w:basedOn w:val="Standardowy"/>
    <w:uiPriority w:val="39"/>
    <w:rsid w:val="00026AD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kstprzypisukocowego">
    <w:name w:val="endnote text"/>
    <w:basedOn w:val="Normalny"/>
    <w:link w:val="TekstprzypisukocowegoZnak"/>
    <w:uiPriority w:val="99"/>
    <w:semiHidden/>
    <w:unhideWhenUsed/>
    <w:rsid w:val="00B841C5"/>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B841C5"/>
    <w:rPr>
      <w:sz w:val="20"/>
      <w:szCs w:val="20"/>
    </w:rPr>
  </w:style>
  <w:style w:type="character" w:styleId="Odwoanieprzypisukocowego">
    <w:name w:val="endnote reference"/>
    <w:basedOn w:val="Domylnaczcionkaakapitu"/>
    <w:uiPriority w:val="99"/>
    <w:semiHidden/>
    <w:unhideWhenUsed/>
    <w:rsid w:val="00B841C5"/>
    <w:rPr>
      <w:vertAlign w:val="superscript"/>
    </w:rPr>
  </w:style>
  <w:style w:type="paragraph" w:styleId="Tekstprzypisudolnego">
    <w:name w:val="footnote text"/>
    <w:aliases w:val="Znak,single space,FOOTNOTES,fn,Podrozdział,Fußnote,Footnote,Podrozdzia3,przypis,Tekst przypisu,Tekst przypisu Znak Znak Znak Znak,Tekst przypisu Znak Znak Znak Znak Znak,Tekst przypisu Znak Znak Znak Znak Znak Znak Znak,f,ft, Znak"/>
    <w:basedOn w:val="Normalny"/>
    <w:link w:val="TekstprzypisudolnegoZnak"/>
    <w:uiPriority w:val="99"/>
    <w:unhideWhenUsed/>
    <w:qFormat/>
    <w:rsid w:val="00B841C5"/>
    <w:pPr>
      <w:spacing w:after="0" w:line="240" w:lineRule="auto"/>
    </w:pPr>
    <w:rPr>
      <w:sz w:val="20"/>
      <w:szCs w:val="20"/>
    </w:rPr>
  </w:style>
  <w:style w:type="character" w:customStyle="1" w:styleId="TekstprzypisudolnegoZnak">
    <w:name w:val="Tekst przypisu dolnego Znak"/>
    <w:aliases w:val="Znak Znak,single space Znak,FOOTNOTES Znak,fn Znak,Podrozdział Znak,Fußnote Znak,Footnote Znak,Podrozdzia3 Znak,przypis Znak,Tekst przypisu Znak,Tekst przypisu Znak Znak Znak Znak Znak1,f Znak,ft Znak, Znak Znak"/>
    <w:basedOn w:val="Domylnaczcionkaakapitu"/>
    <w:link w:val="Tekstprzypisudolnego"/>
    <w:uiPriority w:val="99"/>
    <w:rsid w:val="00B841C5"/>
    <w:rPr>
      <w:sz w:val="20"/>
      <w:szCs w:val="20"/>
    </w:rPr>
  </w:style>
  <w:style w:type="character" w:styleId="Odwoanieprzypisudolnego">
    <w:name w:val="footnote reference"/>
    <w:aliases w:val="Footnote Reference Number,Odwołanie przypisu,Odwo³anie przypisu,Footnote Reference Superscript,Footnote Reference/,Footnote symbol,Times 10 Point,Exposant 3 Point,footnote ref,richiamo note eggsi,Rimando nota a piè di pagina1"/>
    <w:basedOn w:val="Domylnaczcionkaakapitu"/>
    <w:uiPriority w:val="99"/>
    <w:unhideWhenUsed/>
    <w:rsid w:val="00B841C5"/>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08631">
      <w:bodyDiv w:val="1"/>
      <w:marLeft w:val="0"/>
      <w:marRight w:val="0"/>
      <w:marTop w:val="0"/>
      <w:marBottom w:val="0"/>
      <w:divBdr>
        <w:top w:val="none" w:sz="0" w:space="0" w:color="auto"/>
        <w:left w:val="none" w:sz="0" w:space="0" w:color="auto"/>
        <w:bottom w:val="none" w:sz="0" w:space="0" w:color="auto"/>
        <w:right w:val="none" w:sz="0" w:space="0" w:color="auto"/>
      </w:divBdr>
    </w:div>
    <w:div w:id="409888869">
      <w:bodyDiv w:val="1"/>
      <w:marLeft w:val="0"/>
      <w:marRight w:val="0"/>
      <w:marTop w:val="0"/>
      <w:marBottom w:val="0"/>
      <w:divBdr>
        <w:top w:val="none" w:sz="0" w:space="0" w:color="auto"/>
        <w:left w:val="none" w:sz="0" w:space="0" w:color="auto"/>
        <w:bottom w:val="none" w:sz="0" w:space="0" w:color="auto"/>
        <w:right w:val="none" w:sz="0" w:space="0" w:color="auto"/>
      </w:divBdr>
    </w:div>
    <w:div w:id="412552234">
      <w:bodyDiv w:val="1"/>
      <w:marLeft w:val="0"/>
      <w:marRight w:val="0"/>
      <w:marTop w:val="0"/>
      <w:marBottom w:val="0"/>
      <w:divBdr>
        <w:top w:val="none" w:sz="0" w:space="0" w:color="auto"/>
        <w:left w:val="none" w:sz="0" w:space="0" w:color="auto"/>
        <w:bottom w:val="none" w:sz="0" w:space="0" w:color="auto"/>
        <w:right w:val="none" w:sz="0" w:space="0" w:color="auto"/>
      </w:divBdr>
    </w:div>
    <w:div w:id="502935300">
      <w:bodyDiv w:val="1"/>
      <w:marLeft w:val="0"/>
      <w:marRight w:val="0"/>
      <w:marTop w:val="0"/>
      <w:marBottom w:val="0"/>
      <w:divBdr>
        <w:top w:val="none" w:sz="0" w:space="0" w:color="auto"/>
        <w:left w:val="none" w:sz="0" w:space="0" w:color="auto"/>
        <w:bottom w:val="none" w:sz="0" w:space="0" w:color="auto"/>
        <w:right w:val="none" w:sz="0" w:space="0" w:color="auto"/>
      </w:divBdr>
      <w:divsChild>
        <w:div w:id="1678271989">
          <w:marLeft w:val="0"/>
          <w:marRight w:val="0"/>
          <w:marTop w:val="0"/>
          <w:marBottom w:val="0"/>
          <w:divBdr>
            <w:top w:val="none" w:sz="0" w:space="0" w:color="auto"/>
            <w:left w:val="none" w:sz="0" w:space="0" w:color="auto"/>
            <w:bottom w:val="none" w:sz="0" w:space="0" w:color="auto"/>
            <w:right w:val="none" w:sz="0" w:space="0" w:color="auto"/>
          </w:divBdr>
          <w:divsChild>
            <w:div w:id="462235063">
              <w:marLeft w:val="0"/>
              <w:marRight w:val="0"/>
              <w:marTop w:val="0"/>
              <w:marBottom w:val="0"/>
              <w:divBdr>
                <w:top w:val="none" w:sz="0" w:space="0" w:color="auto"/>
                <w:left w:val="none" w:sz="0" w:space="0" w:color="auto"/>
                <w:bottom w:val="none" w:sz="0" w:space="0" w:color="auto"/>
                <w:right w:val="none" w:sz="0" w:space="0" w:color="auto"/>
              </w:divBdr>
              <w:divsChild>
                <w:div w:id="1151558977">
                  <w:marLeft w:val="0"/>
                  <w:marRight w:val="0"/>
                  <w:marTop w:val="0"/>
                  <w:marBottom w:val="0"/>
                  <w:divBdr>
                    <w:top w:val="none" w:sz="0" w:space="0" w:color="auto"/>
                    <w:left w:val="none" w:sz="0" w:space="0" w:color="auto"/>
                    <w:bottom w:val="none" w:sz="0" w:space="0" w:color="auto"/>
                    <w:right w:val="none" w:sz="0" w:space="0" w:color="auto"/>
                  </w:divBdr>
                  <w:divsChild>
                    <w:div w:id="1111778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90661123">
      <w:bodyDiv w:val="1"/>
      <w:marLeft w:val="0"/>
      <w:marRight w:val="0"/>
      <w:marTop w:val="0"/>
      <w:marBottom w:val="0"/>
      <w:divBdr>
        <w:top w:val="none" w:sz="0" w:space="0" w:color="auto"/>
        <w:left w:val="none" w:sz="0" w:space="0" w:color="auto"/>
        <w:bottom w:val="none" w:sz="0" w:space="0" w:color="auto"/>
        <w:right w:val="none" w:sz="0" w:space="0" w:color="auto"/>
      </w:divBdr>
    </w:div>
    <w:div w:id="2053381147">
      <w:bodyDiv w:val="1"/>
      <w:marLeft w:val="0"/>
      <w:marRight w:val="0"/>
      <w:marTop w:val="0"/>
      <w:marBottom w:val="0"/>
      <w:divBdr>
        <w:top w:val="none" w:sz="0" w:space="0" w:color="auto"/>
        <w:left w:val="none" w:sz="0" w:space="0" w:color="auto"/>
        <w:bottom w:val="none" w:sz="0" w:space="0" w:color="auto"/>
        <w:right w:val="none" w:sz="0" w:space="0" w:color="auto"/>
      </w:divBdr>
    </w:div>
    <w:div w:id="2143692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file:///D:\Users\aleksandra_berg\AppData\Local\Microsoft\Windows\INetCache\Content.Outlook\7FT8MYMY\aleksandra_karczewska@parp.gov.pl"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leksandra_berg@parp.gov.pl" TargetMode="External"/><Relationship Id="rId5" Type="http://schemas.openxmlformats.org/officeDocument/2006/relationships/webSettings" Target="webSettings.xml"/><Relationship Id="rId10" Type="http://schemas.openxmlformats.org/officeDocument/2006/relationships/hyperlink" Target="https://www.funduszeeuropejskie.gov.pl/strony/o-funduszach/fundusze-europejskie-bez-barier/informacja-dla-projektodawcow/" TargetMode="External"/><Relationship Id="rId4" Type="http://schemas.openxmlformats.org/officeDocument/2006/relationships/settings" Target="settings.xml"/><Relationship Id="rId9" Type="http://schemas.openxmlformats.org/officeDocument/2006/relationships/hyperlink" Target="https://uslugirozwojowe.parp.gov.pl"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somar.org/uploads/public/knowledge-and-standards/codes-and-guidelines/ESOMAR_Codes-and-Guidelines_MysteryShopping.pdf"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EC0B7C-248A-4C75-BFD0-2C1F20AB079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178</TotalTime>
  <Pages>7</Pages>
  <Words>2518</Words>
  <Characters>15108</Characters>
  <Application>Microsoft Office Word</Application>
  <DocSecurity>0</DocSecurity>
  <Lines>125</Lines>
  <Paragraphs>35</Paragraphs>
  <ScaleCrop>false</ScaleCrop>
  <HeadingPairs>
    <vt:vector size="2" baseType="variant">
      <vt:variant>
        <vt:lpstr>Tytuł</vt:lpstr>
      </vt:variant>
      <vt:variant>
        <vt:i4>1</vt:i4>
      </vt:variant>
    </vt:vector>
  </HeadingPairs>
  <TitlesOfParts>
    <vt:vector size="1" baseType="lpstr">
      <vt:lpstr/>
    </vt:vector>
  </TitlesOfParts>
  <Company>Polska Agencja Rozwoju Przedsiębiorczości</Company>
  <LinksUpToDate>false</LinksUpToDate>
  <CharactersWithSpaces>17591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Budzynowski Łukasz</dc:creator>
  <cp:keywords/>
  <dc:description/>
  <cp:lastModifiedBy>Cybulski Dawid</cp:lastModifiedBy>
  <cp:revision>25</cp:revision>
  <cp:lastPrinted>2019-04-16T04:58:00Z</cp:lastPrinted>
  <dcterms:created xsi:type="dcterms:W3CDTF">2019-04-16T08:16:00Z</dcterms:created>
  <dcterms:modified xsi:type="dcterms:W3CDTF">2019-04-19T07:48:00Z</dcterms:modified>
</cp:coreProperties>
</file>